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Crestline Chemical Supply, Inc. - Corporate Credit Policy</w:t>
      </w:r>
    </w:p>
    <w:p>
      <w:r>
        <w:t>Effective Date: January 1, 2026</w:t>
      </w:r>
    </w:p>
    <w:p>
      <w:r>
        <w:t>Document Owner: VP of Credit Risk</w:t>
      </w:r>
    </w:p>
    <w:p>
      <w:pPr>
        <w:pStyle w:val="Heading1"/>
      </w:pPr>
      <w:r>
        <w:t>Section 1: Purpose and Scope</w:t>
      </w:r>
    </w:p>
    <w:p>
      <w:r>
        <w:t>The purpose of this Corporate Credit Policy is to establish clear guidelines and standardized procedures for the extension of trade credit to customers of Crestline Chemical Supply, Inc. This policy applies to all commercial accounts seeking open/unsecured credit terms for the purchase of bulk chemicals, industrial resins, and related supplies. Our primary objective is to maximize profitable sales while maintaining an acceptable level of credit risk and minimizing bad debt write-offs.</w:t>
      </w:r>
    </w:p>
    <w:p>
      <w:pPr>
        <w:pStyle w:val="Heading1"/>
      </w:pPr>
      <w:r>
        <w:t>Section 2: General Credit Terms and Standard Approvals</w:t>
      </w:r>
    </w:p>
    <w:p>
      <w:r>
        <w:t>The standard payment term for all Crestline commercial accounts is Net 30 days from the invoice date, unless otherwise approved by the Corporate Credit Department. Credit limits under $500,000 may be approved by a Senior Credit Analyst based on satisfactory trade references and a clear commercial credit report showing no major derogatory items. Requests between $500,000 and $1,000,000 require review of the most recent year-end financial statements and approval by the Credit Manager. In evaluating these mid-tier accounts, the Credit Department must ensure that working capital is positive and that the customer has demonstrated a track record of stable or growing revenue over the past two fiscal years. Any mid-tier account exhibiting a sudden drop in sales exceeding 20% year-over-year must be escalated to the Director of Credit for secondary review.</w:t>
      </w:r>
    </w:p>
    <w:p>
      <w:pPr>
        <w:pStyle w:val="Heading1"/>
      </w:pPr>
      <w:r>
        <w:t>Section 3: Trade Credit Approvals over $1,000,000</w:t>
      </w:r>
    </w:p>
    <w:p>
      <w:r>
        <w:t>Requests for unsecured open credit lines exceeding $1,000,000, or requests for extended payment terms (Net 60 or greater), represent a significant concentration of risk. These requests must undergo a rigorous quantitative financial analysis by the Corporate Credit Department. To qualify for an UNSECURED credit limit of this magnitude, the customer must meet ALL of the following mandatory criteria without exception:</w:t>
      </w:r>
    </w:p>
    <w:p>
      <w:r>
        <w:t>1. Altman Z-Score for Private Companies: The customer must demonstrate financial stability by maintaining a calculated Z-score of 1.80 or higher based on their most recent financial statements.</w:t>
        <w:br/>
        <w:t xml:space="preserve">   - Formula: Z = 1.2(A) + 1.4(B) + 3.3(C) + 0.6(D) + 1.0(E)</w:t>
        <w:br/>
        <w:t xml:space="preserve">   - Where A = Working Capital / Total Assets</w:t>
        <w:br/>
        <w:t xml:space="preserve">   - Where B = Retained Earnings / Total Assets</w:t>
        <w:br/>
        <w:t xml:space="preserve">   - Where C = EBIT / Total Assets</w:t>
        <w:br/>
        <w:t xml:space="preserve">   - Where D = Book Value of Equity / Total Liabilities</w:t>
        <w:br/>
        <w:t xml:space="preserve">   - Where E = Sales / Total Assets</w:t>
      </w:r>
    </w:p>
    <w:p>
      <w:r>
        <w:t>2. Internal Payment History: For existing accounts requesting limit increases, payment performance must be satisfactory. Their average 'Days to Pay' over the most recent 3-month period on the Crestline Accounts Receivable (AR) Ledger must not exceed 45 days, considering only invoices falling within that 3-month window immediately preceding the decision date. Accounts exhibiting a trend of slowing payments beyond this 45-day threshold are strictly ineligible for limit increases on unsecured terms.</w:t>
      </w:r>
    </w:p>
    <w:p>
      <w:r>
        <w:t>3. Public Records: The customer must have a clean external credit profile. Specifically, the commercial credit report must show no active or unresolved bankruptcies, no active judgments, and no active or unresolved tax liens exceeding $10,000.</w:t>
      </w:r>
    </w:p>
    <w:p>
      <w:pPr>
        <w:pStyle w:val="Heading1"/>
      </w:pPr>
      <w:r>
        <w:t>Section 4: Conditional Approvals and Credit Risk Mitigation (CRM)</w:t>
      </w:r>
    </w:p>
    <w:p>
      <w:r>
        <w:t>If a customer requires a credit limit exceeding $1,000,000 to support their purchasing needs, but fails to meet one or more of the mandatory criteria outlined in Section 3, the Credit Analyst MUST issue a formal recommendation based strictly on the following deterministic rules:</w:t>
      </w:r>
    </w:p>
    <w:p>
      <w:r>
        <w:t>a) Approve with Conditions (1 Failure): If the applicant fails EXACTLY ONE of the mandatory criteria in Section 3, AND has no active tax liens of any amount, the analyst MUST conditionally approve the requested limit. This conditional approval requires Credit Risk Mitigation (CRM) in the form of an Irrevocable Letter of Credit (ILOC) drawn on a Tier 1 domestic bank, covering the entire requested limit.</w:t>
      </w:r>
    </w:p>
    <w:p>
      <w:r>
        <w:t>b) Decline the Request (2+ Failures or Tax Lien): If the applicant fails TWO OR MORE of the mandatory criteria in Section 3, OR if they have any active tax lien exceeding $10,000, the analyst MUST decline the limit increase and maintain the customer on their existing, lower credit limit. In this scenario, Conditional Approval via CRM is strictly prohibited.</w:t>
      </w:r>
    </w:p>
    <w:p>
      <w:pPr>
        <w:pStyle w:val="Heading1"/>
      </w:pPr>
      <w:r>
        <w:t>Section 5: Annual Reviews and Monitoring</w:t>
      </w:r>
    </w:p>
    <w:p>
      <w:r>
        <w:t>All accounts with credit limits exceeding $500,000 are subject to an annual review. Customers must submit updated year-end financial statements within 120 days of their fiscal year-end. Failure to provide updated financials may result in an automatic suspension or reduction of the credit line until the required documentation is received and analyzed. During the annual review process, the credit analyst is responsible for recalculating all relevant financial ratios, pulling a fresh commercial credit report, and checking the internal accounts receivable ledger for any signs of payment deterioration. If an account that previously qualified for a $1,000,000+ unsecured line falls out of compliance with the Section 3 criteria during an annual review, the analyst must initiate a 90-day cure period. If the account cannot be brought back into compliance or adequately mitigated within that timeframe, the limit must be reduced to the maximum level supported by the revised financial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