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Dun &amp; Bradstreet Business Credit Report</w:t>
      </w:r>
    </w:p>
    <w:p>
      <w:r>
        <w:t>Report Date: August 18, 2026</w:t>
      </w:r>
    </w:p>
    <w:p>
      <w:r>
        <w:t>Company Name: Hartsfield Polymer Technologies, LLC</w:t>
      </w:r>
    </w:p>
    <w:p>
      <w:r>
        <w:t>D-U-N-S Number: 04-729-8135</w:t>
      </w:r>
    </w:p>
    <w:p>
      <w:r>
        <w:t>Address: 450 Industrial Parkway, Akron, OH 44301</w:t>
      </w:r>
    </w:p>
    <w:p>
      <w:r>
        <w:t>Primary SIC: 3089 (Plastics Products, Not Elsewhere Classified)</w:t>
      </w:r>
    </w:p>
    <w:p>
      <w:r>
        <w:t>Employees: 145</w:t>
      </w:r>
    </w:p>
    <w:p>
      <w:r>
        <w:t>Estimated Annual Sales: $11.2 Million</w:t>
      </w:r>
    </w:p>
    <w:p>
      <w:pPr>
        <w:pStyle w:val="Heading1"/>
      </w:pPr>
      <w:r>
        <w:t>Risk Summary &amp; Predictive Scores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Score</w:t>
            </w:r>
          </w:p>
        </w:tc>
        <w:tc>
          <w:tcPr>
            <w:tcW w:type="dxa" w:w="2160"/>
          </w:tcPr>
          <w:p>
            <w:r>
              <w:rPr>
                <w:b/>
              </w:rPr>
              <w:t>Current Value</w:t>
            </w:r>
          </w:p>
        </w:tc>
        <w:tc>
          <w:tcPr>
            <w:tcW w:type="dxa" w:w="2160"/>
          </w:tcPr>
          <w:p>
            <w:r>
              <w:rPr>
                <w:b/>
              </w:rPr>
              <w:t>Prior Period Value</w:t>
            </w:r>
          </w:p>
        </w:tc>
        <w:tc>
          <w:tcPr>
            <w:tcW w:type="dxa" w:w="2160"/>
          </w:tcPr>
          <w:p>
            <w:r>
              <w:rPr>
                <w:b/>
              </w:rPr>
              <w:t>Industry Benchmark</w:t>
            </w:r>
          </w:p>
        </w:tc>
      </w:tr>
      <w:tr>
        <w:tc>
          <w:tcPr>
            <w:tcW w:type="dxa" w:w="2160"/>
          </w:tcPr>
          <w:p>
            <w:r>
              <w:t>D&amp;B Paydex Score</w:t>
            </w:r>
          </w:p>
        </w:tc>
        <w:tc>
          <w:tcPr>
            <w:tcW w:type="dxa" w:w="2160"/>
          </w:tcPr>
          <w:p>
            <w:r>
              <w:t>68</w:t>
            </w:r>
          </w:p>
        </w:tc>
        <w:tc>
          <w:tcPr>
            <w:tcW w:type="dxa" w:w="2160"/>
          </w:tcPr>
          <w:p>
            <w:r>
              <w:t>74 (Q1 2026)</w:t>
            </w:r>
          </w:p>
        </w:tc>
        <w:tc>
          <w:tcPr>
            <w:tcW w:type="dxa" w:w="2160"/>
          </w:tcPr>
          <w:p>
            <w:r>
              <w:t>75 (Industry Median)</w:t>
            </w:r>
          </w:p>
        </w:tc>
      </w:tr>
      <w:tr>
        <w:tc>
          <w:tcPr>
            <w:tcW w:type="dxa" w:w="2160"/>
          </w:tcPr>
          <w:p>
            <w:r>
              <w:t>Financial Stress Score</w:t>
            </w:r>
          </w:p>
        </w:tc>
        <w:tc>
          <w:tcPr>
            <w:tcW w:type="dxa" w:w="2160"/>
          </w:tcPr>
          <w:p>
            <w:r>
              <w:t>1450</w:t>
            </w:r>
          </w:p>
        </w:tc>
        <w:tc>
          <w:tcPr>
            <w:tcW w:type="dxa" w:w="2160"/>
          </w:tcPr>
          <w:p>
            <w:r>
              <w:t>—</w:t>
            </w:r>
          </w:p>
        </w:tc>
        <w:tc>
          <w:tcPr>
            <w:tcW w:type="dxa" w:w="2160"/>
          </w:tcPr>
          <w:p>
            <w:r>
              <w:t>—</w:t>
            </w:r>
          </w:p>
        </w:tc>
      </w:tr>
      <w:tr>
        <w:tc>
          <w:tcPr>
            <w:tcW w:type="dxa" w:w="2160"/>
          </w:tcPr>
          <w:p>
            <w:r>
              <w:t>Financial Stress Percentile (1=highest risk, 100=lowest risk)</w:t>
            </w:r>
          </w:p>
        </w:tc>
        <w:tc>
          <w:tcPr>
            <w:tcW w:type="dxa" w:w="2160"/>
          </w:tcPr>
          <w:p>
            <w:r>
              <w:t>32</w:t>
            </w:r>
          </w:p>
        </w:tc>
        <w:tc>
          <w:tcPr>
            <w:tcW w:type="dxa" w:w="2160"/>
          </w:tcPr>
          <w:p>
            <w:r>
              <w:t>—</w:t>
            </w:r>
          </w:p>
        </w:tc>
        <w:tc>
          <w:tcPr>
            <w:tcW w:type="dxa" w:w="2160"/>
          </w:tcPr>
          <w:p>
            <w:r>
              <w:t>—</w:t>
            </w:r>
          </w:p>
        </w:tc>
      </w:tr>
    </w:tbl>
    <w:p>
      <w:r>
        <w:t>A Paydex of 68 indicates that payments to suppliers are typically made 15 to 22 days beyond standard terms. The Paydex score is a unique, dollar-weighted indicator of a business's past payment performance based on trade experiences reported to Dun &amp; Bradstreet by various vendors. A score of 80 denotes that payments are made exactly within terms, while scores below 70 generally flag an elevated risk of late payments.</w:t>
      </w:r>
    </w:p>
    <w:p>
      <w:r>
        <w:t>This indicates a higher than average risk of experiencing severe financial stress over the next 12 months compared to similar businesses in the manufacturing sector. The Financial Stress Score utilizes statistical modeling to predict the likelihood of business failure, combining demographic data, financial ratios, and payment history.</w:t>
      </w:r>
    </w:p>
    <w:p>
      <w:r>
        <w:t xml:space="preserve">Overall Risk Assessment: Moderate to High Risk. </w:t>
        <w:br/>
        <w:t>The company has shown a recent deterioration in payment promptness across several major suppliers, alongside a newly filed public record. Suppliers are advised to closely monitor this account, potentially restricting open terms or requiring partial cash-in-advance for large orders until the payment trend stabilizes or improves.</w:t>
      </w:r>
    </w:p>
    <w:p>
      <w:pPr>
        <w:pStyle w:val="Heading1"/>
      </w:pPr>
      <w:r>
        <w:t>Payment Habits Analysis</w:t>
      </w:r>
    </w:p>
    <w:p>
      <w:r>
        <w:t>Based on 14 trade experiences reported in the last 12 months, the company's payment performance breaks down as follows: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Payment Bucket</w:t>
            </w:r>
          </w:p>
        </w:tc>
        <w:tc>
          <w:tcPr>
            <w:tcW w:type="dxa" w:w="2880"/>
          </w:tcPr>
          <w:p>
            <w:r>
              <w:rPr>
                <w:b/>
              </w:rPr>
              <w:t>Trailing 12 Months (Current)</w:t>
            </w:r>
          </w:p>
        </w:tc>
        <w:tc>
          <w:tcPr>
            <w:tcW w:type="dxa" w:w="2880"/>
          </w:tcPr>
          <w:p>
            <w:r>
              <w:rPr>
                <w:b/>
              </w:rPr>
              <w:t>Prior 12-Month Period</w:t>
            </w:r>
          </w:p>
        </w:tc>
      </w:tr>
      <w:tr>
        <w:tc>
          <w:tcPr>
            <w:tcW w:type="dxa" w:w="2880"/>
          </w:tcPr>
          <w:p>
            <w:r>
              <w:t>Within Terms</w:t>
            </w:r>
          </w:p>
        </w:tc>
        <w:tc>
          <w:tcPr>
            <w:tcW w:type="dxa" w:w="2880"/>
          </w:tcPr>
          <w:p>
            <w:r>
              <w:t>42%</w:t>
            </w:r>
          </w:p>
        </w:tc>
        <w:tc>
          <w:tcPr>
            <w:tcW w:type="dxa" w:w="2880"/>
          </w:tcPr>
          <w:p>
            <w:r>
              <w:t>75%</w:t>
            </w:r>
          </w:p>
        </w:tc>
      </w:tr>
      <w:tr>
        <w:tc>
          <w:tcPr>
            <w:tcW w:type="dxa" w:w="2880"/>
          </w:tcPr>
          <w:p>
            <w:r>
              <w:t>1 to 30 Days Slow</w:t>
            </w:r>
          </w:p>
        </w:tc>
        <w:tc>
          <w:tcPr>
            <w:tcW w:type="dxa" w:w="2880"/>
          </w:tcPr>
          <w:p>
            <w:r>
              <w:t>38%</w:t>
            </w:r>
          </w:p>
        </w:tc>
        <w:tc>
          <w:tcPr>
            <w:tcW w:type="dxa" w:w="2880"/>
          </w:tcPr>
          <w:p>
            <w:r>
              <w:t>—</w:t>
            </w:r>
          </w:p>
        </w:tc>
      </w:tr>
      <w:tr>
        <w:tc>
          <w:tcPr>
            <w:tcW w:type="dxa" w:w="2880"/>
          </w:tcPr>
          <w:p>
            <w:r>
              <w:t>31 to 60 Days Slow</w:t>
            </w:r>
          </w:p>
        </w:tc>
        <w:tc>
          <w:tcPr>
            <w:tcW w:type="dxa" w:w="2880"/>
          </w:tcPr>
          <w:p>
            <w:r>
              <w:t>15%</w:t>
            </w:r>
          </w:p>
        </w:tc>
        <w:tc>
          <w:tcPr>
            <w:tcW w:type="dxa" w:w="2880"/>
          </w:tcPr>
          <w:p>
            <w:r>
              <w:t>—</w:t>
            </w:r>
          </w:p>
        </w:tc>
      </w:tr>
      <w:tr>
        <w:tc>
          <w:tcPr>
            <w:tcW w:type="dxa" w:w="2880"/>
          </w:tcPr>
          <w:p>
            <w:r>
              <w:t>61+ Days Slow</w:t>
            </w:r>
          </w:p>
        </w:tc>
        <w:tc>
          <w:tcPr>
            <w:tcW w:type="dxa" w:w="2880"/>
          </w:tcPr>
          <w:p>
            <w:r>
              <w:t>5%</w:t>
            </w:r>
          </w:p>
        </w:tc>
        <w:tc>
          <w:tcPr>
            <w:tcW w:type="dxa" w:w="2880"/>
          </w:tcPr>
          <w:p>
            <w:r>
              <w:t>5%</w:t>
            </w:r>
          </w:p>
        </w:tc>
      </w:tr>
    </w:tbl>
    <w:p>
      <w:r>
        <w:t>This represents a significant shift from the prior 12-month period, where 75% of trade experiences were reported as paying within terms, and only 5% were reported as 31+ days slow. The recent increase in late payments suggests a possible tightening of operating cash flow or a deliberate strategy to stretch payables. In particular, several key suppliers in the raw materials sector have reported a marked slowdown in payments over the last two quarters.</w:t>
      </w:r>
    </w:p>
    <w:p>
      <w:pPr>
        <w:pStyle w:val="Heading1"/>
      </w:pPr>
      <w:r>
        <w:t>Select Trade Lines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Trade Line</w:t>
            </w:r>
          </w:p>
        </w:tc>
        <w:tc>
          <w:tcPr>
            <w:tcW w:type="dxa" w:w="2160"/>
          </w:tcPr>
          <w:p>
            <w:r>
              <w:rPr>
                <w:b/>
              </w:rPr>
              <w:t>High Credit</w:t>
            </w:r>
          </w:p>
        </w:tc>
        <w:tc>
          <w:tcPr>
            <w:tcW w:type="dxa" w:w="2160"/>
          </w:tcPr>
          <w:p>
            <w:r>
              <w:rPr>
                <w:b/>
              </w:rPr>
              <w:t>Terms</w:t>
            </w:r>
          </w:p>
        </w:tc>
        <w:tc>
          <w:tcPr>
            <w:tcW w:type="dxa" w:w="2160"/>
          </w:tcPr>
          <w:p>
            <w:r>
              <w:rPr>
                <w:b/>
              </w:rPr>
              <w:t>Recent Payment Experience</w:t>
            </w:r>
          </w:p>
        </w:tc>
      </w:tr>
      <w:tr>
        <w:tc>
          <w:tcPr>
            <w:tcW w:type="dxa" w:w="2160"/>
          </w:tcPr>
          <w:p>
            <w:r>
              <w:t>Raw Materials Supplier</w:t>
            </w:r>
          </w:p>
        </w:tc>
        <w:tc>
          <w:tcPr>
            <w:tcW w:type="dxa" w:w="2160"/>
          </w:tcPr>
          <w:p>
            <w:r>
              <w:t>$650,000</w:t>
            </w:r>
          </w:p>
        </w:tc>
        <w:tc>
          <w:tcPr>
            <w:tcW w:type="dxa" w:w="2160"/>
          </w:tcPr>
          <w:p>
            <w:r>
              <w:t>Net 30</w:t>
            </w:r>
          </w:p>
        </w:tc>
        <w:tc>
          <w:tcPr>
            <w:tcW w:type="dxa" w:w="2160"/>
          </w:tcPr>
          <w:p>
            <w:r>
              <w:t>Paying 15-30 days beyond terms</w:t>
            </w:r>
          </w:p>
        </w:tc>
      </w:tr>
      <w:tr>
        <w:tc>
          <w:tcPr>
            <w:tcW w:type="dxa" w:w="2160"/>
          </w:tcPr>
          <w:p>
            <w:r>
              <w:t>Packaging Supplier</w:t>
            </w:r>
          </w:p>
        </w:tc>
        <w:tc>
          <w:tcPr>
            <w:tcW w:type="dxa" w:w="2160"/>
          </w:tcPr>
          <w:p>
            <w:r>
              <w:t>$250,000</w:t>
            </w:r>
          </w:p>
        </w:tc>
        <w:tc>
          <w:tcPr>
            <w:tcW w:type="dxa" w:w="2160"/>
          </w:tcPr>
          <w:p>
            <w:r>
              <w:t>Net 30</w:t>
            </w:r>
          </w:p>
        </w:tc>
        <w:tc>
          <w:tcPr>
            <w:tcW w:type="dxa" w:w="2160"/>
          </w:tcPr>
          <w:p>
            <w:r>
              <w:t>Paying on time or up to 10 days slow</w:t>
            </w:r>
          </w:p>
        </w:tc>
      </w:tr>
      <w:tr>
        <w:tc>
          <w:tcPr>
            <w:tcW w:type="dxa" w:w="2160"/>
          </w:tcPr>
          <w:p>
            <w:r>
              <w:t>Logistics/Freight</w:t>
            </w:r>
          </w:p>
        </w:tc>
        <w:tc>
          <w:tcPr>
            <w:tcW w:type="dxa" w:w="2160"/>
          </w:tcPr>
          <w:p>
            <w:r>
              <w:t>$120,000</w:t>
            </w:r>
          </w:p>
        </w:tc>
        <w:tc>
          <w:tcPr>
            <w:tcW w:type="dxa" w:w="2160"/>
          </w:tcPr>
          <w:p>
            <w:r>
              <w:t>Net 15</w:t>
            </w:r>
          </w:p>
        </w:tc>
        <w:tc>
          <w:tcPr>
            <w:tcW w:type="dxa" w:w="2160"/>
          </w:tcPr>
          <w:p>
            <w:r>
              <w:t>Paying on time</w:t>
            </w:r>
          </w:p>
        </w:tc>
      </w:tr>
      <w:tr>
        <w:tc>
          <w:tcPr>
            <w:tcW w:type="dxa" w:w="2160"/>
          </w:tcPr>
          <w:p>
            <w:r>
              <w:t>Equipment Leasing</w:t>
            </w:r>
          </w:p>
        </w:tc>
        <w:tc>
          <w:tcPr>
            <w:tcW w:type="dxa" w:w="2160"/>
          </w:tcPr>
          <w:p>
            <w:r>
              <w:t>$45,000</w:t>
            </w:r>
          </w:p>
        </w:tc>
        <w:tc>
          <w:tcPr>
            <w:tcW w:type="dxa" w:w="2160"/>
          </w:tcPr>
          <w:p>
            <w:r>
              <w:t>Net 30</w:t>
            </w:r>
          </w:p>
        </w:tc>
        <w:tc>
          <w:tcPr>
            <w:tcW w:type="dxa" w:w="2160"/>
          </w:tcPr>
          <w:p>
            <w:r>
              <w:t>Paying 30+ days slow</w:t>
            </w:r>
          </w:p>
        </w:tc>
      </w:tr>
    </w:tbl>
    <w:p>
      <w:pPr>
        <w:pStyle w:val="Heading1"/>
      </w:pPr>
      <w:r>
        <w:t>Public Records &amp; Legal Filings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Record Type</w:t>
            </w:r>
          </w:p>
        </w:tc>
        <w:tc>
          <w:tcPr>
            <w:tcW w:type="dxa" w:w="2880"/>
          </w:tcPr>
          <w:p>
            <w:r>
              <w:rPr>
                <w:b/>
              </w:rPr>
              <w:t>Count / Status</w:t>
            </w:r>
          </w:p>
        </w:tc>
        <w:tc>
          <w:tcPr>
            <w:tcW w:type="dxa" w:w="2880"/>
          </w:tcPr>
          <w:p>
            <w:r>
              <w:rPr>
                <w:b/>
              </w:rPr>
              <w:t>Details</w:t>
            </w:r>
          </w:p>
        </w:tc>
      </w:tr>
      <w:tr>
        <w:tc>
          <w:tcPr>
            <w:tcW w:type="dxa" w:w="2880"/>
          </w:tcPr>
          <w:p>
            <w:r>
              <w:t>Bankruptcies</w:t>
            </w:r>
          </w:p>
        </w:tc>
        <w:tc>
          <w:tcPr>
            <w:tcW w:type="dxa" w:w="2880"/>
          </w:tcPr>
          <w:p>
            <w:r>
              <w:t>0 recorded</w:t>
            </w:r>
          </w:p>
        </w:tc>
        <w:tc>
          <w:tcPr>
            <w:tcW w:type="dxa" w:w="2880"/>
          </w:tcPr>
          <w:p>
            <w:r>
              <w:t>—</w:t>
            </w:r>
          </w:p>
        </w:tc>
      </w:tr>
      <w:tr>
        <w:tc>
          <w:tcPr>
            <w:tcW w:type="dxa" w:w="2880"/>
          </w:tcPr>
          <w:p>
            <w:r>
              <w:t>Judgments</w:t>
            </w:r>
          </w:p>
        </w:tc>
        <w:tc>
          <w:tcPr>
            <w:tcW w:type="dxa" w:w="2880"/>
          </w:tcPr>
          <w:p>
            <w:r>
              <w:t>0 recorded</w:t>
            </w:r>
          </w:p>
        </w:tc>
        <w:tc>
          <w:tcPr>
            <w:tcW w:type="dxa" w:w="2880"/>
          </w:tcPr>
          <w:p>
            <w:r>
              <w:t>—</w:t>
            </w:r>
          </w:p>
        </w:tc>
      </w:tr>
      <w:tr>
        <w:tc>
          <w:tcPr>
            <w:tcW w:type="dxa" w:w="2880"/>
          </w:tcPr>
          <w:p>
            <w:r>
              <w:t>Liens</w:t>
            </w:r>
          </w:p>
        </w:tc>
        <w:tc>
          <w:tcPr>
            <w:tcW w:type="dxa" w:w="2880"/>
          </w:tcPr>
          <w:p>
            <w:r>
              <w:t>1 active record found</w:t>
            </w:r>
          </w:p>
        </w:tc>
        <w:tc>
          <w:tcPr>
            <w:tcW w:type="dxa" w:w="2880"/>
          </w:tcPr>
          <w:p>
            <w:r>
              <w:t>Filed 7/12/2026; Filer: State of Ohio Dept. of Taxation; Type: State Tax Lien; Amount: $45,000; Status: Unresolved / Open</w:t>
            </w:r>
          </w:p>
        </w:tc>
      </w:tr>
    </w:tbl>
    <w:p>
      <w:r>
        <w:t>D&amp;B Analyst Note: D&amp;B contacted the company regarding the active lien on August 10, 2026. Management stated this is a dispute over equipment depreciation rules and they expect it to be resolved by Q4, but it remains officially active on public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