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Tri-County Community Bank: Q4 2025 ALLL Reserve Adequacy Memorandum</w:t>
      </w:r>
    </w:p>
    <w:p>
      <w:r>
        <w:t>Prepared by: Tri-County Community Bank, Credit Risk Division</w:t>
      </w:r>
    </w:p>
    <w:p>
      <w:r>
        <w:t>Review Date: January 12, 2026.</w:t>
      </w:r>
    </w:p>
    <w:p>
      <w:pPr>
        <w:pStyle w:val="Heading1"/>
      </w:pPr>
      <w:r>
        <w:t>1. Executive Summary</w:t>
      </w:r>
    </w:p>
    <w:p>
      <w:r>
        <w:t>Auditors are going to want to see this before quarter close, so here is where the reserve actually stands. The commercial book runs 29 loans, $134,656,509 outstanding in total, and under the Bank's ALLL Policy the required reserve against that book comes to $1,871,603: $1,530,963 pooled across Risk Rating tiers 1 through 5, plus a $340,640 specific reserve carried against LN-008 (Palmetto Print &amp; Packaging Inc.), which is individually evaluated because it is collateral-dependent following its Chapter 11 filing. All balances, ratings, and covenant figures below reflect the portfolio's status as of the December 31, 2025 quarter-end close, the basis for this quarter's ALLL test.</w:t>
      </w:r>
    </w:p>
    <w:p>
      <w:r>
        <w:t>Booked ALLL sits at $1,250,000. That leaves a shortfall of $621,603, or about 33.2% of the $1,871,603 total required reserve, well outside the ±10%-of-required-reserve band Policy Section 6 allows. An additional provision of $621,603 should go in this quarter, and the Board Audit Committee needs to see it.</w:t>
      </w:r>
    </w:p>
    <w:p>
      <w:pPr>
        <w:pStyle w:val="Heading1"/>
      </w:pPr>
      <w:r>
        <w:t>2. Portfolio Segmentation</w:t>
      </w:r>
    </w:p>
    <w:p>
      <w:r>
        <w:t>Every loan was bucketed by Internal Risk Rating straight from Loan_Register_Q4_2025.xlsx. Ratings 1 through 5 get pooled treatment; Rating 6 doesn't, since Policy Section 4 pulls it out for individual evaluation and it's excluded from the pool table below.</w:t>
      </w:r>
    </w:p>
    <w:p>
      <w:r>
        <w:t>The six segments were re-tallied from scratch rather than pulled from any existing summary, and they tie out exactly: $134,656,509 across all 29 loans, no omissions, nothing double-counted.</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Risk Rating</w:t>
            </w:r>
          </w:p>
        </w:tc>
        <w:tc>
          <w:tcPr>
            <w:tcW w:type="dxa" w:w="2160"/>
          </w:tcPr>
          <w:p>
            <w:r>
              <w:t>Loan Count</w:t>
            </w:r>
          </w:p>
        </w:tc>
        <w:tc>
          <w:tcPr>
            <w:tcW w:type="dxa" w:w="2160"/>
          </w:tcPr>
          <w:p>
            <w:r>
              <w:t>Aggregate Balance</w:t>
            </w:r>
          </w:p>
        </w:tc>
        <w:tc>
          <w:tcPr>
            <w:tcW w:type="dxa" w:w="2160"/>
          </w:tcPr>
          <w:p>
            <w:r>
              <w:t>Treatment</w:t>
            </w:r>
          </w:p>
        </w:tc>
      </w:tr>
      <w:tr>
        <w:tc>
          <w:tcPr>
            <w:tcW w:type="dxa" w:w="2160"/>
          </w:tcPr>
          <w:p>
            <w:r>
              <w:t>1</w:t>
            </w:r>
          </w:p>
        </w:tc>
        <w:tc>
          <w:tcPr>
            <w:tcW w:type="dxa" w:w="2160"/>
          </w:tcPr>
          <w:p>
            <w:r>
              <w:t>1</w:t>
            </w:r>
          </w:p>
        </w:tc>
        <w:tc>
          <w:tcPr>
            <w:tcW w:type="dxa" w:w="2160"/>
          </w:tcPr>
          <w:p>
            <w:r>
              <w:t>$21,117,450</w:t>
            </w:r>
          </w:p>
        </w:tc>
        <w:tc>
          <w:tcPr>
            <w:tcW w:type="dxa" w:w="2160"/>
          </w:tcPr>
          <w:p>
            <w:r>
              <w:t>Pooled</w:t>
            </w:r>
          </w:p>
        </w:tc>
      </w:tr>
      <w:tr>
        <w:tc>
          <w:tcPr>
            <w:tcW w:type="dxa" w:w="2160"/>
          </w:tcPr>
          <w:p>
            <w:r>
              <w:t>2</w:t>
            </w:r>
          </w:p>
        </w:tc>
        <w:tc>
          <w:tcPr>
            <w:tcW w:type="dxa" w:w="2160"/>
          </w:tcPr>
          <w:p>
            <w:r>
              <w:t>19</w:t>
            </w:r>
          </w:p>
        </w:tc>
        <w:tc>
          <w:tcPr>
            <w:tcW w:type="dxa" w:w="2160"/>
          </w:tcPr>
          <w:p>
            <w:r>
              <w:t>$87,998,690</w:t>
            </w:r>
          </w:p>
        </w:tc>
        <w:tc>
          <w:tcPr>
            <w:tcW w:type="dxa" w:w="2160"/>
          </w:tcPr>
          <w:p>
            <w:r>
              <w:t>Pooled</w:t>
            </w:r>
          </w:p>
        </w:tc>
      </w:tr>
      <w:tr>
        <w:tc>
          <w:tcPr>
            <w:tcW w:type="dxa" w:w="2160"/>
          </w:tcPr>
          <w:p>
            <w:r>
              <w:t>3</w:t>
            </w:r>
          </w:p>
        </w:tc>
        <w:tc>
          <w:tcPr>
            <w:tcW w:type="dxa" w:w="2160"/>
          </w:tcPr>
          <w:p>
            <w:r>
              <w:t>6</w:t>
            </w:r>
          </w:p>
        </w:tc>
        <w:tc>
          <w:tcPr>
            <w:tcW w:type="dxa" w:w="2160"/>
          </w:tcPr>
          <w:p>
            <w:r>
              <w:t>$13,420,408</w:t>
            </w:r>
          </w:p>
        </w:tc>
        <w:tc>
          <w:tcPr>
            <w:tcW w:type="dxa" w:w="2160"/>
          </w:tcPr>
          <w:p>
            <w:r>
              <w:t>Pooled</w:t>
            </w:r>
          </w:p>
        </w:tc>
      </w:tr>
      <w:tr>
        <w:tc>
          <w:tcPr>
            <w:tcW w:type="dxa" w:w="2160"/>
          </w:tcPr>
          <w:p>
            <w:r>
              <w:t>4</w:t>
            </w:r>
          </w:p>
        </w:tc>
        <w:tc>
          <w:tcPr>
            <w:tcW w:type="dxa" w:w="2160"/>
          </w:tcPr>
          <w:p>
            <w:r>
              <w:t>1</w:t>
            </w:r>
          </w:p>
        </w:tc>
        <w:tc>
          <w:tcPr>
            <w:tcW w:type="dxa" w:w="2160"/>
          </w:tcPr>
          <w:p>
            <w:r>
              <w:t>$3,817,432</w:t>
            </w:r>
          </w:p>
        </w:tc>
        <w:tc>
          <w:tcPr>
            <w:tcW w:type="dxa" w:w="2160"/>
          </w:tcPr>
          <w:p>
            <w:r>
              <w:t>Pooled</w:t>
            </w:r>
          </w:p>
        </w:tc>
      </w:tr>
      <w:tr>
        <w:tc>
          <w:tcPr>
            <w:tcW w:type="dxa" w:w="2160"/>
          </w:tcPr>
          <w:p>
            <w:r>
              <w:t>5</w:t>
            </w:r>
          </w:p>
        </w:tc>
        <w:tc>
          <w:tcPr>
            <w:tcW w:type="dxa" w:w="2160"/>
          </w:tcPr>
          <w:p>
            <w:r>
              <w:t>1</w:t>
            </w:r>
          </w:p>
        </w:tc>
        <w:tc>
          <w:tcPr>
            <w:tcW w:type="dxa" w:w="2160"/>
          </w:tcPr>
          <w:p>
            <w:r>
              <w:t>$7,214,889</w:t>
            </w:r>
          </w:p>
        </w:tc>
        <w:tc>
          <w:tcPr>
            <w:tcW w:type="dxa" w:w="2160"/>
          </w:tcPr>
          <w:p>
            <w:r>
              <w:t>Pooled</w:t>
            </w:r>
          </w:p>
        </w:tc>
      </w:tr>
      <w:tr>
        <w:tc>
          <w:tcPr>
            <w:tcW w:type="dxa" w:w="2160"/>
          </w:tcPr>
          <w:p>
            <w:r>
              <w:t>6</w:t>
            </w:r>
          </w:p>
        </w:tc>
        <w:tc>
          <w:tcPr>
            <w:tcW w:type="dxa" w:w="2160"/>
          </w:tcPr>
          <w:p>
            <w:r>
              <w:t>1</w:t>
            </w:r>
          </w:p>
        </w:tc>
        <w:tc>
          <w:tcPr>
            <w:tcW w:type="dxa" w:w="2160"/>
          </w:tcPr>
          <w:p>
            <w:r>
              <w:t>$1,087,640</w:t>
            </w:r>
          </w:p>
        </w:tc>
        <w:tc>
          <w:tcPr>
            <w:tcW w:type="dxa" w:w="2160"/>
          </w:tcPr>
          <w:p>
            <w:r>
              <w:t>Individually evaluated (LN-008)</w:t>
            </w:r>
          </w:p>
        </w:tc>
      </w:tr>
    </w:tbl>
    <w:p/>
    <w:p>
      <w:pPr>
        <w:pStyle w:val="Heading1"/>
      </w:pPr>
      <w:r>
        <w:t>3. Pooled Reserve Calculation</w:t>
      </w:r>
    </w:p>
    <w:p>
      <w:r>
        <w:t>Base loss rates came from ALLL_Loss_Rate_and_Reserve_Data.xlsx. Before applying any of them, each pool got checked against the Covenant Compliance Workbook, the Borrower Financial Statements, and the Appraisal and Collateral Summary. Policy Section 5 requires an active, un-waived breach before a 25bps Q-Factor gets tacked on, and pre-calculated breach flags aren't good enough on their own. DSCR was rebuilt as Net Operating Income over Total Annual Debt Service, LTV as Outstanding Balance over Appraised Value, and Current Ratio as Current Assets over Current Liabilities, all pulled from the underlying files rather than taken on faith from the workbook.</w:t>
      </w:r>
    </w:p>
    <w:p>
      <w:r>
        <w:t>Three loans in Pool 3 are breaching with nothing on file to offset them: LN-004 (Coastal Auto Group, DSCR 1.14x against a 1.20x floor), LN-006 (Harbor Grille Restaurant Group, Current Ratio 1.03x against 1.20x), and LN-010 (U-Save Self Storage LLC, LTV 85.2% against a 75% cap). None has a waiver, so the Q-Factor applies to the whole pool. Pool 5 has one breaching loan in the same boat: LN-002 (Corrigan Retail Partners), LTV 88.0% against 75% and Current Ratio 0.94x against 1.00x, no waiver there either, so Pool 5 gets the add-on too. Pool 2 turned up a breach as well, and this one wasn't already flagged anywhere: LN-019 (Interstate Automotive LLC) recomputes to an 88.0% LTV ($4,221,780 outstanding against the $4,800,000 December 2025 floor-plan revaluation in Appraisal_and_Collateral_Summary_Q4_2025.xlsx), over its 80% cap. The Covenant Compliance Workbook still shows LN-019's Actual LTV at a stale 72.8%, calculated off the prior $5,800,000 figure, and there is no LN-019 entry anywhere in Exception_Tracking_Log_Q4_2025.xlsx. Nothing waives it, so the full $87,998,690 Pool 2 balance gets the 25bps add-on too.</w:t>
      </w:r>
    </w:p>
    <w:p>
      <w:r>
        <w:t>Pool 4 is different. Its only loan, LN-001 (Talbot Steel Fabricators LLC), is breaching DSCR at 1.07x versus the 1.20x minimum, but Exception EXC-001 shows a waiver approved November 25, 2025 and running through March 31, 2026, active and not expired as of this review. Policy Section 5 is explicit that a breach "offset by a documented, approved waiver" doesn't trigger the Q-Factor, so Pool 4 stays at its base rate. Pool 1 isn't breaching anything and doesn't get an add-on.</w:t>
      </w:r>
    </w:p>
    <w:p>
      <w:r>
        <w:t>Pooled reserve across the five tiers comes to $1,530,963.</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t>Risk Rating</w:t>
            </w:r>
          </w:p>
        </w:tc>
        <w:tc>
          <w:tcPr>
            <w:tcW w:type="dxa" w:w="1440"/>
          </w:tcPr>
          <w:p>
            <w:r>
              <w:t>Pool Balance</w:t>
            </w:r>
          </w:p>
        </w:tc>
        <w:tc>
          <w:tcPr>
            <w:tcW w:type="dxa" w:w="1440"/>
          </w:tcPr>
          <w:p>
            <w:r>
              <w:t>Base Rate</w:t>
            </w:r>
          </w:p>
        </w:tc>
        <w:tc>
          <w:tcPr>
            <w:tcW w:type="dxa" w:w="1440"/>
          </w:tcPr>
          <w:p>
            <w:r>
              <w:t>Q-Factor Trigger</w:t>
            </w:r>
          </w:p>
        </w:tc>
        <w:tc>
          <w:tcPr>
            <w:tcW w:type="dxa" w:w="1440"/>
          </w:tcPr>
          <w:p>
            <w:r>
              <w:t>Adjusted Rate</w:t>
            </w:r>
          </w:p>
        </w:tc>
        <w:tc>
          <w:tcPr>
            <w:tcW w:type="dxa" w:w="1440"/>
          </w:tcPr>
          <w:p>
            <w:r>
              <w:t>Pooled Reserve</w:t>
            </w:r>
          </w:p>
        </w:tc>
      </w:tr>
      <w:tr>
        <w:tc>
          <w:tcPr>
            <w:tcW w:type="dxa" w:w="1440"/>
          </w:tcPr>
          <w:p>
            <w:r>
              <w:t>1</w:t>
            </w:r>
          </w:p>
        </w:tc>
        <w:tc>
          <w:tcPr>
            <w:tcW w:type="dxa" w:w="1440"/>
          </w:tcPr>
          <w:p>
            <w:r>
              <w:t>$21,117,450</w:t>
            </w:r>
          </w:p>
        </w:tc>
        <w:tc>
          <w:tcPr>
            <w:tcW w:type="dxa" w:w="1440"/>
          </w:tcPr>
          <w:p>
            <w:r>
              <w:t>0.10%</w:t>
            </w:r>
          </w:p>
        </w:tc>
        <w:tc>
          <w:tcPr>
            <w:tcW w:type="dxa" w:w="1440"/>
          </w:tcPr>
          <w:p>
            <w:r>
              <w:t>None</w:t>
            </w:r>
          </w:p>
        </w:tc>
        <w:tc>
          <w:tcPr>
            <w:tcW w:type="dxa" w:w="1440"/>
          </w:tcPr>
          <w:p>
            <w:r>
              <w:t>0.10%</w:t>
            </w:r>
          </w:p>
        </w:tc>
        <w:tc>
          <w:tcPr>
            <w:tcW w:type="dxa" w:w="1440"/>
          </w:tcPr>
          <w:p>
            <w:r>
              <w:t>$21,117</w:t>
            </w:r>
          </w:p>
        </w:tc>
      </w:tr>
      <w:tr>
        <w:tc>
          <w:tcPr>
            <w:tcW w:type="dxa" w:w="1440"/>
          </w:tcPr>
          <w:p>
            <w:r>
              <w:t>2</w:t>
            </w:r>
          </w:p>
        </w:tc>
        <w:tc>
          <w:tcPr>
            <w:tcW w:type="dxa" w:w="1440"/>
          </w:tcPr>
          <w:p>
            <w:r>
              <w:t>$87,998,690</w:t>
            </w:r>
          </w:p>
        </w:tc>
        <w:tc>
          <w:tcPr>
            <w:tcW w:type="dxa" w:w="1440"/>
          </w:tcPr>
          <w:p>
            <w:r>
              <w:t>0.35%</w:t>
            </w:r>
          </w:p>
        </w:tc>
        <w:tc>
          <w:tcPr>
            <w:tcW w:type="dxa" w:w="1440"/>
          </w:tcPr>
          <w:p>
            <w:r>
              <w:t>LN-019 breaching, no waiver</w:t>
            </w:r>
          </w:p>
        </w:tc>
        <w:tc>
          <w:tcPr>
            <w:tcW w:type="dxa" w:w="1440"/>
          </w:tcPr>
          <w:p>
            <w:r>
              <w:t>0.60%</w:t>
            </w:r>
          </w:p>
        </w:tc>
        <w:tc>
          <w:tcPr>
            <w:tcW w:type="dxa" w:w="1440"/>
          </w:tcPr>
          <w:p>
            <w:r>
              <w:t>$527,992</w:t>
            </w:r>
          </w:p>
        </w:tc>
      </w:tr>
      <w:tr>
        <w:tc>
          <w:tcPr>
            <w:tcW w:type="dxa" w:w="1440"/>
          </w:tcPr>
          <w:p>
            <w:r>
              <w:t>3</w:t>
            </w:r>
          </w:p>
        </w:tc>
        <w:tc>
          <w:tcPr>
            <w:tcW w:type="dxa" w:w="1440"/>
          </w:tcPr>
          <w:p>
            <w:r>
              <w:t>$13,420,408</w:t>
            </w:r>
          </w:p>
        </w:tc>
        <w:tc>
          <w:tcPr>
            <w:tcW w:type="dxa" w:w="1440"/>
          </w:tcPr>
          <w:p>
            <w:r>
              <w:t>0.90%</w:t>
            </w:r>
          </w:p>
        </w:tc>
        <w:tc>
          <w:tcPr>
            <w:tcW w:type="dxa" w:w="1440"/>
          </w:tcPr>
          <w:p>
            <w:r>
              <w:t>LN-004, LN-006, LN-010 breaching, no waiver</w:t>
            </w:r>
          </w:p>
        </w:tc>
        <w:tc>
          <w:tcPr>
            <w:tcW w:type="dxa" w:w="1440"/>
          </w:tcPr>
          <w:p>
            <w:r>
              <w:t>1.15%</w:t>
            </w:r>
          </w:p>
        </w:tc>
        <w:tc>
          <w:tcPr>
            <w:tcW w:type="dxa" w:w="1440"/>
          </w:tcPr>
          <w:p>
            <w:r>
              <w:t>$154,335</w:t>
            </w:r>
          </w:p>
        </w:tc>
      </w:tr>
      <w:tr>
        <w:tc>
          <w:tcPr>
            <w:tcW w:type="dxa" w:w="1440"/>
          </w:tcPr>
          <w:p>
            <w:r>
              <w:t>4</w:t>
            </w:r>
          </w:p>
        </w:tc>
        <w:tc>
          <w:tcPr>
            <w:tcW w:type="dxa" w:w="1440"/>
          </w:tcPr>
          <w:p>
            <w:r>
              <w:t>$3,817,432</w:t>
            </w:r>
          </w:p>
        </w:tc>
        <w:tc>
          <w:tcPr>
            <w:tcW w:type="dxa" w:w="1440"/>
          </w:tcPr>
          <w:p>
            <w:r>
              <w:t>3.25%</w:t>
            </w:r>
          </w:p>
        </w:tc>
        <w:tc>
          <w:tcPr>
            <w:tcW w:type="dxa" w:w="1440"/>
          </w:tcPr>
          <w:p>
            <w:r>
              <w:t>LN-001 breaching but waived (EXC-001, exp. 3/31/2026)</w:t>
            </w:r>
          </w:p>
        </w:tc>
        <w:tc>
          <w:tcPr>
            <w:tcW w:type="dxa" w:w="1440"/>
          </w:tcPr>
          <w:p>
            <w:r>
              <w:t>3.25%</w:t>
            </w:r>
          </w:p>
        </w:tc>
        <w:tc>
          <w:tcPr>
            <w:tcW w:type="dxa" w:w="1440"/>
          </w:tcPr>
          <w:p>
            <w:r>
              <w:t>$124,067</w:t>
            </w:r>
          </w:p>
        </w:tc>
      </w:tr>
      <w:tr>
        <w:tc>
          <w:tcPr>
            <w:tcW w:type="dxa" w:w="1440"/>
          </w:tcPr>
          <w:p>
            <w:r>
              <w:t>5</w:t>
            </w:r>
          </w:p>
        </w:tc>
        <w:tc>
          <w:tcPr>
            <w:tcW w:type="dxa" w:w="1440"/>
          </w:tcPr>
          <w:p>
            <w:r>
              <w:t>$7,214,889</w:t>
            </w:r>
          </w:p>
        </w:tc>
        <w:tc>
          <w:tcPr>
            <w:tcW w:type="dxa" w:w="1440"/>
          </w:tcPr>
          <w:p>
            <w:r>
              <w:t>9.50%</w:t>
            </w:r>
          </w:p>
        </w:tc>
        <w:tc>
          <w:tcPr>
            <w:tcW w:type="dxa" w:w="1440"/>
          </w:tcPr>
          <w:p>
            <w:r>
              <w:t>LN-002 breaching, no waiver</w:t>
            </w:r>
          </w:p>
        </w:tc>
        <w:tc>
          <w:tcPr>
            <w:tcW w:type="dxa" w:w="1440"/>
          </w:tcPr>
          <w:p>
            <w:r>
              <w:t>9.75%</w:t>
            </w:r>
          </w:p>
        </w:tc>
        <w:tc>
          <w:tcPr>
            <w:tcW w:type="dxa" w:w="1440"/>
          </w:tcPr>
          <w:p>
            <w:r>
              <w:t>$703,452</w:t>
            </w:r>
          </w:p>
        </w:tc>
      </w:tr>
    </w:tbl>
    <w:p/>
    <w:p>
      <w:pPr>
        <w:pStyle w:val="Heading1"/>
      </w:pPr>
      <w:r>
        <w:t>4. Individually Evaluated Loan Analysis</w:t>
      </w:r>
    </w:p>
    <w:p>
      <w:r>
        <w:t>LN-008 (Palmetto Print &amp; Packaging Inc.) is Rating 6 and 97 days past due. Either one alone would pull it out of the pool under Policy Section 4, and it hits both. The borrower filed Chapter 11 on December 9, 2025, and at this point repayment is expected to come from liquidating the manufacturing equipment pledged as collateral rather than from operating cash flow.</w:t>
      </w:r>
    </w:p>
    <w:p>
      <w:r>
        <w:t>Exception EXC-010 backs this up independently, noting an active loss reserve on this loan, and the Appraisal and Collateral Summary flags the Chapter 11 filing in its notes as well. No other loan in the book is Rating 6 or 90-plus days past due, so LN-008 is the only one that needed this treatment.</w:t>
      </w:r>
    </w:p>
    <w:tbl>
      <w:tblPr>
        <w:tblStyle w:val="LightGrid-Accent1"/>
        <w:tblW w:type="auto" w:w="0"/>
        <w:tblLook w:firstColumn="1" w:firstRow="1" w:lastColumn="0" w:lastRow="0" w:noHBand="0" w:noVBand="1" w:val="04A0"/>
      </w:tblPr>
      <w:tblGrid>
        <w:gridCol w:w="4320"/>
        <w:gridCol w:w="4320"/>
      </w:tblGrid>
      <w:tr>
        <w:tc>
          <w:tcPr>
            <w:tcW w:type="dxa" w:w="4320"/>
          </w:tcPr>
          <w:p>
            <w:r>
              <w:t>Line Item</w:t>
            </w:r>
          </w:p>
        </w:tc>
        <w:tc>
          <w:tcPr>
            <w:tcW w:type="dxa" w:w="4320"/>
          </w:tcPr>
          <w:p>
            <w:r>
              <w:t>Amount</w:t>
            </w:r>
          </w:p>
        </w:tc>
      </w:tr>
      <w:tr>
        <w:tc>
          <w:tcPr>
            <w:tcW w:type="dxa" w:w="4320"/>
          </w:tcPr>
          <w:p>
            <w:r>
              <w:t>Outstanding Balance</w:t>
            </w:r>
          </w:p>
        </w:tc>
        <w:tc>
          <w:tcPr>
            <w:tcW w:type="dxa" w:w="4320"/>
          </w:tcPr>
          <w:p>
            <w:r>
              <w:t>$1,087,640</w:t>
            </w:r>
          </w:p>
        </w:tc>
      </w:tr>
      <w:tr>
        <w:tc>
          <w:tcPr>
            <w:tcW w:type="dxa" w:w="4320"/>
          </w:tcPr>
          <w:p>
            <w:r>
              <w:t>Appraised Collateral Value (Dec. 2025 inspection)</w:t>
            </w:r>
          </w:p>
        </w:tc>
        <w:tc>
          <w:tcPr>
            <w:tcW w:type="dxa" w:w="4320"/>
          </w:tcPr>
          <w:p>
            <w:r>
              <w:t>$830,000</w:t>
            </w:r>
          </w:p>
        </w:tc>
      </w:tr>
      <w:tr>
        <w:tc>
          <w:tcPr>
            <w:tcW w:type="dxa" w:w="4320"/>
          </w:tcPr>
          <w:p>
            <w:r>
              <w:t>Estimated Disposition Cost (10%)</w:t>
            </w:r>
          </w:p>
        </w:tc>
        <w:tc>
          <w:tcPr>
            <w:tcW w:type="dxa" w:w="4320"/>
          </w:tcPr>
          <w:p>
            <w:r>
              <w:t>$83,000</w:t>
            </w:r>
          </w:p>
        </w:tc>
      </w:tr>
      <w:tr>
        <w:tc>
          <w:tcPr>
            <w:tcW w:type="dxa" w:w="4320"/>
          </w:tcPr>
          <w:p>
            <w:r>
              <w:t>Net Realizable Collateral Value</w:t>
            </w:r>
          </w:p>
        </w:tc>
        <w:tc>
          <w:tcPr>
            <w:tcW w:type="dxa" w:w="4320"/>
          </w:tcPr>
          <w:p>
            <w:r>
              <w:t>$747,000</w:t>
            </w:r>
          </w:p>
        </w:tc>
      </w:tr>
      <w:tr>
        <w:tc>
          <w:tcPr>
            <w:tcW w:type="dxa" w:w="4320"/>
          </w:tcPr>
          <w:p>
            <w:r>
              <w:t>Specific Reserve (Balance minus Net Realizable Value)</w:t>
            </w:r>
          </w:p>
        </w:tc>
        <w:tc>
          <w:tcPr>
            <w:tcW w:type="dxa" w:w="4320"/>
          </w:tcPr>
          <w:p>
            <w:r>
              <w:t>$340,640</w:t>
            </w:r>
          </w:p>
        </w:tc>
      </w:tr>
    </w:tbl>
    <w:p/>
    <w:p>
      <w:pPr>
        <w:pStyle w:val="Heading1"/>
      </w:pPr>
      <w:r>
        <w:t>5. Covenant Breach and Watch List Cross-Reference</w:t>
      </w:r>
    </w:p>
    <w:p>
      <w:r>
        <w:t>Six loans are carrying an active breach right now: LN-001, LN-002, LN-004, LN-006, LN-010, and LN-019. LN-008 isn't part of this list because it's individually evaluated in Section 4, not pooled. Each one's Exception Tracking Log entry, where one exists, was pulled and checked for a Waiver Issued flag and expiry date before any Q-Factor got applied. Only LN-001 has an approved waiver still in force; LN-002, LN-004, LN-006, and LN-010 show "Waiver Issued: No" on their exceptions, and LN-019 has no exception record at all. All five without an active waiver stay subject to the add-on.</w:t>
      </w:r>
    </w:p>
    <w:p>
      <w:r>
        <w:t>Of those six, only LN-002 carries an explicit "Watch List" designation: both of its exceptions, EXC-002 and EXC-003, record its status as "Open – Escalated to Watch List." No other exception in Exception_Tracking_Log_Q4_2025.xlsx uses that language (LN-001's is tracked as "Open – Monitoring," and LN-008's as "Open – Legal Hold"), and none of the provided source files define Watch List status as a function of Internal Risk Rating, so that designation isn't extended to LN-001 or LN-008 here. Watch List status, where it appears, is an exception-tracking designation recorded in the Exception Tracking Log; none of the source files say who assigns it. It's a separate flag from the pool-level Q-Factor and doesn't itself change the pooled math. LN-004, LN-006, and LN-010 carry no Watch List designation in the exception log at all, but their breaches still pull the Pool 3 Q-Factor because that add-on applies to the whole pool, not just the specific loan that's breaching. LN-019 is a further step removed: it has no entry in Exception_Tracking_Log_Q4_2025.xlsx at all, Watch List or otherwise. Its breach only surfaced because DSCR, LTV, and Current Ratio were rebuilt from the underlying loan, financial, and appraisal files rather than pulled from the Covenant Compliance Workbook or the exception log, and it still pulls the full Pool 2 Q-Factor for the same reason LN-004, LN-006, and LN-010 do.</w:t>
      </w:r>
    </w:p>
    <w:p>
      <w:pPr>
        <w:pStyle w:val="Heading1"/>
      </w:pPr>
      <w:r>
        <w:t>6. Reserve Adequacy Conclusion</w:t>
      </w:r>
    </w:p>
    <w:p>
      <w:r>
        <w:t>$621,603 works out to about 33.2% of the $1,871,603 total required reserve, well past the ±10%-of-required-reserve band Policy Section 6 allows. That makes the reserve inadequate as booked, and an additional provision of $621,603 needs to go in this quarter and get reported up to the Board Audit Committee. Most of the gap traces back to three things: LN-002, where a single loan in the Rating 5 pool is driving $703,452 of required reserve on its own; LN-008's $340,640 specific reserve; and the Pool 2 Q-Factor triggered by LN-019's newly recomputed LTV breach, which alone adds roughly $220,000 across the pool's $87,998,690 balance. All three reflect deterioration the booked balance hasn't caught up with: a payment demand and two concurrent covenant breaches on LN-002, a bankruptcy filing and falling collateral value on LN-008, and a collateral revaluation on LN-019 that neither the Covenant Compliance Workbook nor the exception log had picked up.</w:t>
      </w:r>
    </w:p>
    <w:p>
      <w:pPr>
        <w:pStyle w:val="Heading1"/>
      </w:pPr>
      <w:r>
        <w:t>7. Policy/Source Reconciliation</w:t>
      </w:r>
    </w:p>
    <w:p>
      <w:r>
        <w:t>The loss rate table, the disposition cost assumption, the Q-Factor rate, and the booked ALLL figure all came straight from ALLL_Loss_Rate_and_Reserve_Data.xlsx and didn't conflict with anything else in the file set. Pool composition was rebuilt from Loan_Register_Q4_2025.xlsx rather than taken from any prior summary, and the six segments tie back to the full 29-loan, $134,656,509 portfolio.</w:t>
      </w:r>
    </w:p>
    <w:p>
      <w:r>
        <w:t>The recomputation was not a formality. It caught two live discrepancies. Covenant_Compliance_Workbook_Q4_2025.xlsx's own Actual LTV and Actual Current Ratio columns for LN-002 show 71.5% and 1.06x, both comfortably within covenant (75% max LTV, 1.00x minimum Current Ratio). Recomputing both from the underlying source files tells a different story: LTV is Outstanding Balance ($7,214,889, per Loan_Register_Q4_2025.xlsx) over Appraised Value ($8,200,000, per the August 14, 2025 appraisal in Appraisal_and_Collateral_Summary_Q4_2025.xlsx), which is 88.0%, not 71.5%, a breach of the 75% cap. Current Ratio is Current Assets ($813,900) over Current Liabilities ($865,800), per Borrower_Financial_Statements_Summary.xlsx, which is 0.94x, not 1.06x, a breach of the 1.00x floor. The recomputed Current Ratio lines up exactly with Exception Tracking Log entry EXC-003, which independently records 0.94x, and the recomputed LTV is consistent with EXC-002's own note of LTV at 87.9% (the exception log's figure rounds off a slightly different intermediate calculation than the loan register balance used here; either way it clears the 75% cap by more than ten points). The workbook's pre-filled Actual columns for LN-002 are stale, and the recomputed values are the ones that should drive the Q-Factor determination. Had the workbook's face-value figures been accepted instead, LN-002 would have appeared covenant-compliant, Pool 5 would have been assessed no Q-Factor, and the total required reserve would have been understated by roughly $18,000.</w:t>
      </w:r>
    </w:p>
    <w:p>
      <w:r>
        <w:t>The second discrepancy is worse, because nothing in the file set flags it at all. LN-019's Covenant Compliance Workbook Actual LTV reads 72.8%, which matches an older $5,800,000 collateral figure and isn't, on its face, a breach. But Appraisal_and_Collateral_Summary_Q4_2025.xlsx and Loan_Register_Q4_2025.xlsx both carry a December 5, 2025 floor-plan revaluation of $4,800,000 for the same collateral, and $4,221,780 outstanding against that figure is an 88.0% LTV, over the 80% cap. LN-019 has no entry anywhere in Exception_Tracking_Log_Q4_2025.xlsx, so there was no exception record to cross-check against and no shortcut around doing the recomputation. Skipping it would have left Pool 2 at its base 0.35% rate and understated the total required reserve by a further $219,997. Between LN-002 and LN-019, accepting the pre-calculated fields at face value would have understated the required reserve by roughly $238,000 combined. DSCR came from Net Operating Income over Total Annual Debt Service in Borrower_Financial_Statements_Summary.xlsx; LTV came from the Loan Register balance divided by the appraised value in the Appraisal and Collateral Summary; Current Ratio came from Current Assets over Current Liabilities in the financial statements file. Every other loan's recomputed DSCR, LTV, and Current Ratio landed within normal rounding of the workbook's own figures. LN-002 and LN-019 were the only two discrepancies found.</w:t>
      </w:r>
    </w:p>
    <w:p>
      <w:r>
        <w:t>Breach status by itself wasn't treated as enough to justify a Q-Factor, though. Every breaching loan's Waiver Issued, Waiver Approved Date, and Waiver Expiry Date fields in Exception_Tracking_Log_Q4_2025.xlsx got checked first, consistent with Policy Section 5's carve-out for breaches "offset by a documented, approved waiver." That check is what surfaced LN-001's waiver: EXC-001, Waiver Issued marked Yes, approved November 25, 2025 and running to March 31, 2026, already in force well before the December 31, 2025 review date, so Pool 4 was reserved at base rate with no add-on. LN-002, LN-004, LN-006, and LN-010 came back with "Waiver Issued: No" on their respective exceptions and were assessed the Q-Factor accordingly. LN-019 has no exception on file at all, waived or otherwise, so there was nothing to offset its breach either.</w:t>
      </w:r>
    </w:p>
    <w:p>
      <w:r>
        <w:t>For LN-008's specific reserve, the appraised value used was the most recent one on file: the December 11, 2025 inspection in the Appraisal and Collateral Summary, $830,000, rather than anything from origination, which is what Policy Section 4 calls for regardless of how old the loan is. Exception EXC-010 independently backs this up, noting the loss reserve as already active for this credit.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Credit Risk Division</dc:creator>
  <cp:keywords/>
  <dc:description/>
  <cp:lastModifiedBy>Credit Risk Division</cp:lastModifiedBy>
  <cp:revision>1</cp:revision>
  <dcterms:created xsi:type="dcterms:W3CDTF">2013-12-23T23:15:00Z</dcterms:created>
  <dcterms:modified xsi:type="dcterms:W3CDTF">2013-12-23T23:15:00Z</dcterms:modified>
  <cp:category/>
</cp:coreProperties>
</file>