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Tri-County Commercial Loan Portfolio Review</w:t>
      </w:r>
    </w:p>
    <w:p>
      <w:pPr>
        <w:jc w:val="center"/>
      </w:pPr>
      <w:r>
        <w:t>Q4 2025  |  Prepared by Credit Review Department</w:t>
      </w:r>
    </w:p>
    <w:p/>
    <w:p>
      <w:pPr>
        <w:pStyle w:val="Heading1"/>
        <w:spacing w:before="240" w:after="80"/>
      </w:pPr>
      <w:r>
        <w:t>1. Executive Summary</w:t>
      </w:r>
    </w:p>
    <w:p>
      <w:pPr>
        <w:spacing w:after="80"/>
      </w:pPr>
      <w:r>
        <w:t>This report presents the results of the Q4 2025 quarterly review of the Tri-County commercial loan portfolio, conducted in accordance with the Loan Portfolio Review Policy. The portfolio comprises 29 active commercial loans with an aggregate outstanding balance of $134,656,509 as of the review date.</w:t>
      </w:r>
    </w:p>
    <w:p>
      <w:pPr>
        <w:spacing w:after="80"/>
      </w:pPr>
      <w:r>
        <w:t>The review identified nine individual covenant breaches distributed across six affected loans, three Watch List designations driven by risk-rating criteria, one non-performing loan currently in Chapter 11 bankruptcy proceedings, three concentration-limit exceedances, and eleven open exceptions requiring active monitoring or legal coordination. The overall portfolio carries elevated risk due to the concentration of adversely rated exposure in a single non-performing credit (LN-008) and structural over-concentration in commercial mortgage loan types and a single loan-officer relationship.</w:t>
      </w:r>
    </w:p>
    <w:p>
      <w:pPr>
        <w:pStyle w:val="Heading1"/>
        <w:spacing w:before="240" w:after="80"/>
      </w:pPr>
      <w:r>
        <w:t>2. Portfolio Overview</w:t>
      </w:r>
    </w:p>
    <w:p>
      <w:pPr>
        <w:spacing w:after="80"/>
      </w:pPr>
      <w:r>
        <w:t>The portfolio includes 29 loans originated between 2020 and 2023, spanning industries including commercial real estate, manufacturing, retail, hospitality, healthcare, technology, food distribution, and energy. Collateral types range from commercial mortgages and equipment to accounts receivable and vehicle inventories.</w:t>
      </w:r>
    </w:p>
    <w:p>
      <w:pPr>
        <w:spacing w:after="80"/>
      </w:pPr>
      <w:r>
        <w:t>Loan type distribution: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Loan Type</w:t>
            </w:r>
          </w:p>
        </w:tc>
        <w:tc>
          <w:tcPr>
            <w:tcW w:type="dxa" w:w="2160"/>
          </w:tcPr>
          <w:p>
            <w:r>
              <w:rPr>
                <w:b/>
              </w:rPr>
              <w:t>Loan Count</w:t>
            </w:r>
          </w:p>
        </w:tc>
        <w:tc>
          <w:tcPr>
            <w:tcW w:type="dxa" w:w="2160"/>
          </w:tcPr>
          <w:p>
            <w:r>
              <w:rPr>
                <w:b/>
              </w:rPr>
              <w:t>Aggregate Balance ($)</w:t>
            </w:r>
          </w:p>
        </w:tc>
        <w:tc>
          <w:tcPr>
            <w:tcW w:type="dxa" w:w="2160"/>
          </w:tcPr>
          <w:p>
            <w:r>
              <w:rPr>
                <w:b/>
              </w:rPr>
              <w:t>% of Portfolio</w:t>
            </w:r>
          </w:p>
        </w:tc>
      </w:tr>
      <w:tr>
        <w:tc>
          <w:tcPr>
            <w:tcW w:type="dxa" w:w="2160"/>
          </w:tcPr>
          <w:p>
            <w:r>
              <w:t>Commercial Mortgage</w:t>
            </w:r>
          </w:p>
        </w:tc>
        <w:tc>
          <w:tcPr>
            <w:tcW w:type="dxa" w:w="2160"/>
          </w:tcPr>
          <w:p>
            <w:r>
              <w:t>9</w:t>
            </w:r>
          </w:p>
        </w:tc>
        <w:tc>
          <w:tcPr>
            <w:tcW w:type="dxa" w:w="2160"/>
          </w:tcPr>
          <w:p>
            <w:r>
              <w:t>$88,481,044</w:t>
            </w:r>
          </w:p>
        </w:tc>
        <w:tc>
          <w:tcPr>
            <w:tcW w:type="dxa" w:w="2160"/>
          </w:tcPr>
          <w:p>
            <w:r>
              <w:t>65.71%</w:t>
            </w:r>
          </w:p>
        </w:tc>
      </w:tr>
      <w:tr>
        <w:tc>
          <w:tcPr>
            <w:tcW w:type="dxa" w:w="2160"/>
          </w:tcPr>
          <w:p>
            <w:r>
              <w:t>Term Loan</w:t>
            </w:r>
          </w:p>
        </w:tc>
        <w:tc>
          <w:tcPr>
            <w:tcW w:type="dxa" w:w="2160"/>
          </w:tcPr>
          <w:p>
            <w:r>
              <w:t>9</w:t>
            </w:r>
          </w:p>
        </w:tc>
        <w:tc>
          <w:tcPr>
            <w:tcW w:type="dxa" w:w="2160"/>
          </w:tcPr>
          <w:p>
            <w:r>
              <w:t>$20,281,665</w:t>
            </w:r>
          </w:p>
        </w:tc>
        <w:tc>
          <w:tcPr>
            <w:tcW w:type="dxa" w:w="2160"/>
          </w:tcPr>
          <w:p>
            <w:r>
              <w:t>15.06%</w:t>
            </w:r>
          </w:p>
        </w:tc>
      </w:tr>
      <w:tr>
        <w:tc>
          <w:tcPr>
            <w:tcW w:type="dxa" w:w="2160"/>
          </w:tcPr>
          <w:p>
            <w:r>
              <w:t>Equipment Loan</w:t>
            </w:r>
          </w:p>
        </w:tc>
        <w:tc>
          <w:tcPr>
            <w:tcW w:type="dxa" w:w="2160"/>
          </w:tcPr>
          <w:p>
            <w:r>
              <w:t>3</w:t>
            </w:r>
          </w:p>
        </w:tc>
        <w:tc>
          <w:tcPr>
            <w:tcW w:type="dxa" w:w="2160"/>
          </w:tcPr>
          <w:p>
            <w:r>
              <w:t>$3,051,850</w:t>
            </w:r>
          </w:p>
        </w:tc>
        <w:tc>
          <w:tcPr>
            <w:tcW w:type="dxa" w:w="2160"/>
          </w:tcPr>
          <w:p>
            <w:r>
              <w:t>2.27%</w:t>
            </w:r>
          </w:p>
        </w:tc>
      </w:tr>
      <w:tr>
        <w:tc>
          <w:tcPr>
            <w:tcW w:type="dxa" w:w="2160"/>
          </w:tcPr>
          <w:p>
            <w:r>
              <w:t>Line of Credit</w:t>
            </w:r>
          </w:p>
        </w:tc>
        <w:tc>
          <w:tcPr>
            <w:tcW w:type="dxa" w:w="2160"/>
          </w:tcPr>
          <w:p>
            <w:r>
              <w:t>3</w:t>
            </w:r>
          </w:p>
        </w:tc>
        <w:tc>
          <w:tcPr>
            <w:tcW w:type="dxa" w:w="2160"/>
          </w:tcPr>
          <w:p>
            <w:r>
              <w:t>$2,902,460</w:t>
            </w:r>
          </w:p>
        </w:tc>
        <w:tc>
          <w:tcPr>
            <w:tcW w:type="dxa" w:w="2160"/>
          </w:tcPr>
          <w:p>
            <w:r>
              <w:t>2.16%</w:t>
            </w:r>
          </w:p>
        </w:tc>
      </w:tr>
      <w:tr>
        <w:tc>
          <w:tcPr>
            <w:tcW w:type="dxa" w:w="2160"/>
          </w:tcPr>
          <w:p>
            <w:r>
              <w:t>Construction Loan</w:t>
            </w:r>
          </w:p>
        </w:tc>
        <w:tc>
          <w:tcPr>
            <w:tcW w:type="dxa" w:w="2160"/>
          </w:tcPr>
          <w:p>
            <w:r>
              <w:t>2</w:t>
            </w:r>
          </w:p>
        </w:tc>
        <w:tc>
          <w:tcPr>
            <w:tcW w:type="dxa" w:w="2160"/>
          </w:tcPr>
          <w:p>
            <w:r>
              <w:t>$10,550,680</w:t>
            </w:r>
          </w:p>
        </w:tc>
        <w:tc>
          <w:tcPr>
            <w:tcW w:type="dxa" w:w="2160"/>
          </w:tcPr>
          <w:p>
            <w:r>
              <w:t>7.84%</w:t>
            </w:r>
          </w:p>
        </w:tc>
      </w:tr>
      <w:tr>
        <w:tc>
          <w:tcPr>
            <w:tcW w:type="dxa" w:w="2160"/>
          </w:tcPr>
          <w:p>
            <w:r>
              <w:t>Floor Plan Loan</w:t>
            </w:r>
          </w:p>
        </w:tc>
        <w:tc>
          <w:tcPr>
            <w:tcW w:type="dxa" w:w="2160"/>
          </w:tcPr>
          <w:p>
            <w:r>
              <w:t>2</w:t>
            </w:r>
          </w:p>
        </w:tc>
        <w:tc>
          <w:tcPr>
            <w:tcW w:type="dxa" w:w="2160"/>
          </w:tcPr>
          <w:p>
            <w:r>
              <w:t>$7,194,920</w:t>
            </w:r>
          </w:p>
        </w:tc>
        <w:tc>
          <w:tcPr>
            <w:tcW w:type="dxa" w:w="2160"/>
          </w:tcPr>
          <w:p>
            <w:r>
              <w:t>5.35%</w:t>
            </w:r>
          </w:p>
        </w:tc>
      </w:tr>
      <w:tr>
        <w:tc>
          <w:tcPr>
            <w:tcW w:type="dxa" w:w="2160"/>
          </w:tcPr>
          <w:p>
            <w:r>
              <w:t>Agricultural Term Loan</w:t>
            </w:r>
          </w:p>
        </w:tc>
        <w:tc>
          <w:tcPr>
            <w:tcW w:type="dxa" w:w="2160"/>
          </w:tcPr>
          <w:p>
            <w:r>
              <w:t>1</w:t>
            </w:r>
          </w:p>
        </w:tc>
        <w:tc>
          <w:tcPr>
            <w:tcW w:type="dxa" w:w="2160"/>
          </w:tcPr>
          <w:p>
            <w:r>
              <w:t>$2,193,810</w:t>
            </w:r>
          </w:p>
        </w:tc>
        <w:tc>
          <w:tcPr>
            <w:tcW w:type="dxa" w:w="2160"/>
          </w:tcPr>
          <w:p>
            <w:r>
              <w:t>1.63%</w:t>
            </w:r>
          </w:p>
        </w:tc>
      </w:tr>
    </w:tbl>
    <w:p/>
    <w:p>
      <w:pPr>
        <w:spacing w:after="80"/>
      </w:pPr>
      <w:r>
        <w:t>Three relationship officers carry the portfolio: Diana Flores (11 loans, $27,512,145, 20.43%), Marcus Webb (9 loans, $25,074,404, 18.62%), and James Trotter (9 loans, $82,101,025, 60.97%). Geographic coverage spans the Midwest, Southeast, Southwest, Pacific Northwest, and Mid-Atlantic regions.</w:t>
      </w:r>
    </w:p>
    <w:p>
      <w:pPr>
        <w:pStyle w:val="Heading1"/>
        <w:spacing w:before="240" w:after="80"/>
      </w:pPr>
      <w:r>
        <w:t>3. Covenant Compliance Findings</w:t>
      </w:r>
    </w:p>
    <w:p>
      <w:pPr>
        <w:spacing w:after="80"/>
      </w:pPr>
      <w:r>
        <w:t>All 29 loans were evaluated independently against their loan-specific DSCR, LTV, and Current Ratio thresholds as documented in the Covenant Compliance Workbook. Pre-calculated workbook values were cross-checked against the underlying financial statements and appraisal records to confirm accuracy. Where workbook values and independently computed values differed, the independently derived figure was used and the variance is noted. Nine individual breaches were identified across six affected loans.</w:t>
      </w:r>
    </w:p>
    <w:p>
      <w:pPr>
        <w:pStyle w:val="Heading2"/>
        <w:spacing w:before="240" w:after="80"/>
      </w:pPr>
      <w:r>
        <w:t>DSCR Breaches</w:t>
      </w:r>
    </w:p>
    <w:p>
      <w:pPr>
        <w:spacing w:after="80"/>
      </w:pPr>
      <w:r>
        <w:t>Three loans fall below their loan-specific DSCR minimums as set out in the Covenant Compliance Workbook. LN-008 is severely distressed at 0.81x, well below its 1.20x floor.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Actual DSCR</w:t>
            </w:r>
          </w:p>
        </w:tc>
        <w:tc>
          <w:tcPr>
            <w:tcW w:type="dxa" w:w="1728"/>
          </w:tcPr>
          <w:p>
            <w:r>
              <w:rPr>
                <w:b/>
              </w:rPr>
              <w:t>Min Threshold</w:t>
            </w:r>
          </w:p>
        </w:tc>
        <w:tc>
          <w:tcPr>
            <w:tcW w:type="dxa" w:w="1728"/>
          </w:tcPr>
          <w:p>
            <w:r>
              <w:rPr>
                <w:b/>
              </w:rPr>
              <w:t>Variance</w:t>
            </w:r>
          </w:p>
        </w:tc>
      </w:tr>
      <w:tr>
        <w:tc>
          <w:tcPr>
            <w:tcW w:type="dxa" w:w="1728"/>
          </w:tcPr>
          <w:p>
            <w:r>
              <w:t>LN-001</w:t>
            </w:r>
          </w:p>
        </w:tc>
        <w:tc>
          <w:tcPr>
            <w:tcW w:type="dxa" w:w="1728"/>
          </w:tcPr>
          <w:p>
            <w:r>
              <w:t>ABC Industrial LLC</w:t>
            </w:r>
          </w:p>
        </w:tc>
        <w:tc>
          <w:tcPr>
            <w:tcW w:type="dxa" w:w="1728"/>
          </w:tcPr>
          <w:p>
            <w:r>
              <w:t>1.07x</w:t>
            </w:r>
          </w:p>
        </w:tc>
        <w:tc>
          <w:tcPr>
            <w:tcW w:type="dxa" w:w="1728"/>
          </w:tcPr>
          <w:p>
            <w:r>
              <w:t>1.20x</w:t>
            </w:r>
          </w:p>
        </w:tc>
        <w:tc>
          <w:tcPr>
            <w:tcW w:type="dxa" w:w="1728"/>
          </w:tcPr>
          <w:p>
            <w:r>
              <w:t>-0.13x</w:t>
            </w:r>
          </w:p>
        </w:tc>
      </w:tr>
      <w:tr>
        <w:tc>
          <w:tcPr>
            <w:tcW w:type="dxa" w:w="1728"/>
          </w:tcPr>
          <w:p>
            <w:r>
              <w:t>LN-004</w:t>
            </w:r>
          </w:p>
        </w:tc>
        <w:tc>
          <w:tcPr>
            <w:tcW w:type="dxa" w:w="1728"/>
          </w:tcPr>
          <w:p>
            <w:r>
              <w:t>Delta Auto Group</w:t>
            </w:r>
          </w:p>
        </w:tc>
        <w:tc>
          <w:tcPr>
            <w:tcW w:type="dxa" w:w="1728"/>
          </w:tcPr>
          <w:p>
            <w:r>
              <w:t>1.14x</w:t>
            </w:r>
          </w:p>
        </w:tc>
        <w:tc>
          <w:tcPr>
            <w:tcW w:type="dxa" w:w="1728"/>
          </w:tcPr>
          <w:p>
            <w:r>
              <w:t>1.20x</w:t>
            </w:r>
          </w:p>
        </w:tc>
        <w:tc>
          <w:tcPr>
            <w:tcW w:type="dxa" w:w="1728"/>
          </w:tcPr>
          <w:p>
            <w:r>
              <w:t>-0.06x</w:t>
            </w:r>
          </w:p>
        </w:tc>
      </w:tr>
      <w:tr>
        <w:tc>
          <w:tcPr>
            <w:tcW w:type="dxa" w:w="1728"/>
          </w:tcPr>
          <w:p>
            <w:r>
              <w:t>LN-008</w:t>
            </w:r>
          </w:p>
        </w:tc>
        <w:tc>
          <w:tcPr>
            <w:tcW w:type="dxa" w:w="1728"/>
          </w:tcPr>
          <w:p>
            <w:r>
              <w:t>Eta Print &amp; Packaging Inc.</w:t>
            </w:r>
          </w:p>
        </w:tc>
        <w:tc>
          <w:tcPr>
            <w:tcW w:type="dxa" w:w="1728"/>
          </w:tcPr>
          <w:p>
            <w:r>
              <w:t>0.81x</w:t>
            </w:r>
          </w:p>
        </w:tc>
        <w:tc>
          <w:tcPr>
            <w:tcW w:type="dxa" w:w="1728"/>
          </w:tcPr>
          <w:p>
            <w:r>
              <w:t>1.20x</w:t>
            </w:r>
          </w:p>
        </w:tc>
        <w:tc>
          <w:tcPr>
            <w:tcW w:type="dxa" w:w="1728"/>
          </w:tcPr>
          <w:p>
            <w:r>
              <w:t>-0.39x</w:t>
            </w:r>
          </w:p>
        </w:tc>
      </w:tr>
    </w:tbl>
    <w:p/>
    <w:p>
      <w:pPr>
        <w:spacing w:after="80"/>
      </w:pPr>
      <w:r>
        <w:t>DSCR values were independently verified from Borrower_Financial_Statements_Summary.xlsx by dividing Net Operating Income by Total Annual Debt Service: LN-001 $347,200 / $324,500 = 1.07x; LN-004 $288,100 / $252,700 = 1.14x; LN-008 $74,800 / $92,400 = 0.81x. These computed values match the Covenant Compliance Workbook pre-calculated figures within rounding tolerance (±0.01x). No material conflict was identified.</w:t>
      </w:r>
    </w:p>
    <w:p>
      <w:pPr>
        <w:pStyle w:val="Heading2"/>
        <w:spacing w:before="240" w:after="80"/>
      </w:pPr>
      <w:r>
        <w:t>LTV Breaches</w:t>
      </w:r>
    </w:p>
    <w:p>
      <w:pPr>
        <w:spacing w:after="80"/>
      </w:pPr>
      <w:r>
        <w:t>Three loans exceed their loan-specific LTV maximums based on current outstanding balances from the Loan Register and latest appraised collateral values from the Appraisal and Collateral Summary.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Appraised Value</w:t>
            </w:r>
          </w:p>
        </w:tc>
        <w:tc>
          <w:tcPr>
            <w:tcW w:type="dxa" w:w="1440"/>
          </w:tcPr>
          <w:p>
            <w:r>
              <w:rPr>
                <w:b/>
              </w:rPr>
              <w:t>Actual LTV</w:t>
            </w:r>
          </w:p>
        </w:tc>
        <w:tc>
          <w:tcPr>
            <w:tcW w:type="dxa" w:w="1440"/>
          </w:tcPr>
          <w:p>
            <w:r>
              <w:rPr>
                <w:b/>
              </w:rPr>
              <w:t>Max LTV</w:t>
            </w:r>
          </w:p>
        </w:tc>
      </w:tr>
      <w:tr>
        <w:tc>
          <w:tcPr>
            <w:tcW w:type="dxa" w:w="1440"/>
          </w:tcPr>
          <w:p>
            <w:r>
              <w:t>LN-002</w:t>
            </w:r>
          </w:p>
        </w:tc>
        <w:tc>
          <w:tcPr>
            <w:tcW w:type="dxa" w:w="1440"/>
          </w:tcPr>
          <w:p>
            <w:r>
              <w:t>XYZ Retail Partners</w:t>
            </w:r>
          </w:p>
        </w:tc>
        <w:tc>
          <w:tcPr>
            <w:tcW w:type="dxa" w:w="1440"/>
          </w:tcPr>
          <w:p>
            <w:r>
              <w:t>$7,214,889</w:t>
            </w:r>
          </w:p>
        </w:tc>
        <w:tc>
          <w:tcPr>
            <w:tcW w:type="dxa" w:w="1440"/>
          </w:tcPr>
          <w:p>
            <w:r>
              <w:t>$8,200,000</w:t>
            </w:r>
          </w:p>
        </w:tc>
        <w:tc>
          <w:tcPr>
            <w:tcW w:type="dxa" w:w="1440"/>
          </w:tcPr>
          <w:p>
            <w:r>
              <w:t>87.9%</w:t>
            </w:r>
          </w:p>
        </w:tc>
        <w:tc>
          <w:tcPr>
            <w:tcW w:type="dxa" w:w="1440"/>
          </w:tcPr>
          <w:p>
            <w:r>
              <w:t>75%</w:t>
            </w:r>
          </w:p>
        </w:tc>
      </w:tr>
      <w:tr>
        <w:tc>
          <w:tcPr>
            <w:tcW w:type="dxa" w:w="1440"/>
          </w:tcPr>
          <w:p>
            <w:r>
              <w:t>LN-008</w:t>
            </w:r>
          </w:p>
        </w:tc>
        <w:tc>
          <w:tcPr>
            <w:tcW w:type="dxa" w:w="1440"/>
          </w:tcPr>
          <w:p>
            <w:r>
              <w:t>Eta Print &amp; Packaging Inc.</w:t>
            </w:r>
          </w:p>
        </w:tc>
        <w:tc>
          <w:tcPr>
            <w:tcW w:type="dxa" w:w="1440"/>
          </w:tcPr>
          <w:p>
            <w:r>
              <w:t>$1,087,640</w:t>
            </w:r>
          </w:p>
        </w:tc>
        <w:tc>
          <w:tcPr>
            <w:tcW w:type="dxa" w:w="1440"/>
          </w:tcPr>
          <w:p>
            <w:r>
              <w:t>$830,000</w:t>
            </w:r>
          </w:p>
        </w:tc>
        <w:tc>
          <w:tcPr>
            <w:tcW w:type="dxa" w:w="1440"/>
          </w:tcPr>
          <w:p>
            <w:r>
              <w:t>130.9%</w:t>
            </w:r>
          </w:p>
        </w:tc>
        <w:tc>
          <w:tcPr>
            <w:tcW w:type="dxa" w:w="1440"/>
          </w:tcPr>
          <w:p>
            <w:r>
              <w:t>80%</w:t>
            </w:r>
          </w:p>
        </w:tc>
      </w:tr>
      <w:tr>
        <w:tc>
          <w:tcPr>
            <w:tcW w:type="dxa" w:w="1440"/>
          </w:tcPr>
          <w:p>
            <w:r>
              <w:t>LN-010</w:t>
            </w:r>
          </w:p>
        </w:tc>
        <w:tc>
          <w:tcPr>
            <w:tcW w:type="dxa" w:w="1440"/>
          </w:tcPr>
          <w:p>
            <w:r>
              <w:t>Iota Storage Partners</w:t>
            </w:r>
          </w:p>
        </w:tc>
        <w:tc>
          <w:tcPr>
            <w:tcW w:type="dxa" w:w="1440"/>
          </w:tcPr>
          <w:p>
            <w:r>
              <w:t>$3,108,775</w:t>
            </w:r>
          </w:p>
        </w:tc>
        <w:tc>
          <w:tcPr>
            <w:tcW w:type="dxa" w:w="1440"/>
          </w:tcPr>
          <w:p>
            <w:r>
              <w:t>$3,650,000</w:t>
            </w:r>
          </w:p>
        </w:tc>
        <w:tc>
          <w:tcPr>
            <w:tcW w:type="dxa" w:w="1440"/>
          </w:tcPr>
          <w:p>
            <w:r>
              <w:t>85.2%</w:t>
            </w:r>
          </w:p>
        </w:tc>
        <w:tc>
          <w:tcPr>
            <w:tcW w:type="dxa" w:w="1440"/>
          </w:tcPr>
          <w:p>
            <w:r>
              <w:t>75%</w:t>
            </w:r>
          </w:p>
        </w:tc>
      </w:tr>
    </w:tbl>
    <w:p/>
    <w:p>
      <w:pPr>
        <w:spacing w:after="80"/>
      </w:pPr>
      <w:r>
        <w:t>LTV values were independently verified by dividing each loan's outstanding balance (Loan Register) by the corresponding appraised value (Appraisal Summary): LN-002 $7,214,889 / $8,200,000 = 87.9%, consistent with the Covenant Workbook. LN-008 $1,087,640 / $830,000 = 130.9%; the Appraisal Summary notes equipment value declined significantly and Chapter 11 was filed December 2025. LN-010 $3,108,775 / $3,650,000 = 85.2%; the Appraisal Summary notes value declined from $4.4M at origination (LTV breach triggered per appraisal note). All three computed figures match the Covenant Workbook pre-calculated values within rounding.</w:t>
      </w:r>
    </w:p>
    <w:p>
      <w:pPr>
        <w:pStyle w:val="Heading2"/>
        <w:spacing w:before="240" w:after="80"/>
      </w:pPr>
      <w:r>
        <w:t>Current Ratio Breaches</w:t>
      </w:r>
    </w:p>
    <w:p>
      <w:pPr>
        <w:spacing w:after="80"/>
      </w:pPr>
      <w:r>
        <w:t>Three loans fall below their loan-specific Current Ratio minimums based on financial statement data in Borrower_Financial_Statements_Summary.xlsx.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Current Assets</w:t>
            </w:r>
          </w:p>
        </w:tc>
        <w:tc>
          <w:tcPr>
            <w:tcW w:type="dxa" w:w="1440"/>
          </w:tcPr>
          <w:p>
            <w:r>
              <w:rPr>
                <w:b/>
              </w:rPr>
              <w:t>Current Liabilities</w:t>
            </w:r>
          </w:p>
        </w:tc>
        <w:tc>
          <w:tcPr>
            <w:tcW w:type="dxa" w:w="1440"/>
          </w:tcPr>
          <w:p>
            <w:r>
              <w:rPr>
                <w:b/>
              </w:rPr>
              <w:t>Actual CR</w:t>
            </w:r>
          </w:p>
        </w:tc>
        <w:tc>
          <w:tcPr>
            <w:tcW w:type="dxa" w:w="1440"/>
          </w:tcPr>
          <w:p>
            <w:r>
              <w:rPr>
                <w:b/>
              </w:rPr>
              <w:t>Min CR</w:t>
            </w:r>
          </w:p>
        </w:tc>
      </w:tr>
      <w:tr>
        <w:tc>
          <w:tcPr>
            <w:tcW w:type="dxa" w:w="1440"/>
          </w:tcPr>
          <w:p>
            <w:r>
              <w:t>LN-002</w:t>
            </w:r>
          </w:p>
        </w:tc>
        <w:tc>
          <w:tcPr>
            <w:tcW w:type="dxa" w:w="1440"/>
          </w:tcPr>
          <w:p>
            <w:r>
              <w:t>XYZ Retail Partners</w:t>
            </w:r>
          </w:p>
        </w:tc>
        <w:tc>
          <w:tcPr>
            <w:tcW w:type="dxa" w:w="1440"/>
          </w:tcPr>
          <w:p>
            <w:r>
              <w:t>$813,900</w:t>
            </w:r>
          </w:p>
        </w:tc>
        <w:tc>
          <w:tcPr>
            <w:tcW w:type="dxa" w:w="1440"/>
          </w:tcPr>
          <w:p>
            <w:r>
              <w:t>$865,800</w:t>
            </w:r>
          </w:p>
        </w:tc>
        <w:tc>
          <w:tcPr>
            <w:tcW w:type="dxa" w:w="1440"/>
          </w:tcPr>
          <w:p>
            <w:r>
              <w:t>0.94x</w:t>
            </w:r>
          </w:p>
        </w:tc>
        <w:tc>
          <w:tcPr>
            <w:tcW w:type="dxa" w:w="1440"/>
          </w:tcPr>
          <w:p>
            <w:r>
              <w:t>1.00x</w:t>
            </w:r>
          </w:p>
        </w:tc>
      </w:tr>
      <w:tr>
        <w:tc>
          <w:tcPr>
            <w:tcW w:type="dxa" w:w="1440"/>
          </w:tcPr>
          <w:p>
            <w:r>
              <w:t>LN-006</w:t>
            </w:r>
          </w:p>
        </w:tc>
        <w:tc>
          <w:tcPr>
            <w:tcW w:type="dxa" w:w="1440"/>
          </w:tcPr>
          <w:p>
            <w:r>
              <w:t>Epsilon Restaurant Group</w:t>
            </w:r>
          </w:p>
        </w:tc>
        <w:tc>
          <w:tcPr>
            <w:tcW w:type="dxa" w:w="1440"/>
          </w:tcPr>
          <w:p>
            <w:r>
              <w:t>$87,000</w:t>
            </w:r>
          </w:p>
        </w:tc>
        <w:tc>
          <w:tcPr>
            <w:tcW w:type="dxa" w:w="1440"/>
          </w:tcPr>
          <w:p>
            <w:r>
              <w:t>$84,500</w:t>
            </w:r>
          </w:p>
        </w:tc>
        <w:tc>
          <w:tcPr>
            <w:tcW w:type="dxa" w:w="1440"/>
          </w:tcPr>
          <w:p>
            <w:r>
              <w:t>1.03x</w:t>
            </w:r>
          </w:p>
        </w:tc>
        <w:tc>
          <w:tcPr>
            <w:tcW w:type="dxa" w:w="1440"/>
          </w:tcPr>
          <w:p>
            <w:r>
              <w:t>1.20x</w:t>
            </w:r>
          </w:p>
        </w:tc>
      </w:tr>
      <w:tr>
        <w:tc>
          <w:tcPr>
            <w:tcW w:type="dxa" w:w="1440"/>
          </w:tcPr>
          <w:p>
            <w:r>
              <w:t>LN-008</w:t>
            </w:r>
          </w:p>
        </w:tc>
        <w:tc>
          <w:tcPr>
            <w:tcW w:type="dxa" w:w="1440"/>
          </w:tcPr>
          <w:p>
            <w:r>
              <w:t>Eta Print &amp; Packaging Inc.</w:t>
            </w:r>
          </w:p>
        </w:tc>
        <w:tc>
          <w:tcPr>
            <w:tcW w:type="dxa" w:w="1440"/>
          </w:tcPr>
          <w:p>
            <w:r>
              <w:t>$94,000</w:t>
            </w:r>
          </w:p>
        </w:tc>
        <w:tc>
          <w:tcPr>
            <w:tcW w:type="dxa" w:w="1440"/>
          </w:tcPr>
          <w:p>
            <w:r>
              <w:t>$130,500</w:t>
            </w:r>
          </w:p>
        </w:tc>
        <w:tc>
          <w:tcPr>
            <w:tcW w:type="dxa" w:w="1440"/>
          </w:tcPr>
          <w:p>
            <w:r>
              <w:t>0.72x</w:t>
            </w:r>
          </w:p>
        </w:tc>
        <w:tc>
          <w:tcPr>
            <w:tcW w:type="dxa" w:w="1440"/>
          </w:tcPr>
          <w:p>
            <w:r>
              <w:t>1.10x</w:t>
            </w:r>
          </w:p>
        </w:tc>
      </w:tr>
    </w:tbl>
    <w:p/>
    <w:p>
      <w:pPr>
        <w:spacing w:after="80"/>
      </w:pPr>
      <w:r>
        <w:t>Current Ratio was computed as Current Assets divided by Current Liabilities from the Financial Statements file: LN-002 $813,900 / $865,800 = 0.94x (below the 1.00x floor). LN-006 $87,000 / $84,500 = 1.03x (below the 1.20x floor; exception EXC-007 notes a seasonal pattern with recovery historically in Q2). LN-008 $94,000 / $130,500 = 0.72x (severely below the 1.10x floor). All computed values match the Covenant Workbook pre-calculated figures; no conflicts found.</w:t>
      </w:r>
    </w:p>
    <w:p>
      <w:pPr>
        <w:pStyle w:val="Heading2"/>
        <w:spacing w:before="240" w:after="80"/>
      </w:pPr>
      <w:r>
        <w:t>Concurrent Violations</w:t>
      </w:r>
    </w:p>
    <w:p>
      <w:pPr>
        <w:spacing w:after="80"/>
      </w:pPr>
      <w:r>
        <w:t>LN-008 (Eta Print &amp; Packaging Inc.) carries concurrent DSCR, LTV, and Current Ratio breaches — the only loan in the portfolio with all three covenants in default simultaneously. LN-002 (XYZ Retail Partners) carries concurrent LTV and Current Ratio breaches. No other loan carries more than one individual breach.</w:t>
      </w:r>
    </w:p>
    <w:p>
      <w:pPr>
        <w:pStyle w:val="Heading1"/>
        <w:spacing w:before="240" w:after="80"/>
      </w:pPr>
      <w:r>
        <w:t>4. Watch List and Concentration Analysis</w:t>
      </w:r>
    </w:p>
    <w:p>
      <w:pPr>
        <w:pStyle w:val="Heading2"/>
        <w:spacing w:before="240" w:after="80"/>
      </w:pPr>
      <w:r>
        <w:t>Watch List</w:t>
      </w:r>
    </w:p>
    <w:p>
      <w:pPr>
        <w:spacing w:after="80"/>
      </w:pPr>
      <w:r>
        <w:t>Per policy Section 4 (Watch List and Classification), loans assigned an Internal Risk Rating of 4 or higher are automatically placed on the Watch List and require quarterly reporting to the Chief Credit Officer. Risk ratings are sourced exclusively from the Internal Risk Rating column of Loan_Register_Q4_2025.xlsx. Three loans qualify: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Loan ID</w:t>
            </w:r>
          </w:p>
        </w:tc>
        <w:tc>
          <w:tcPr>
            <w:tcW w:type="dxa" w:w="1728"/>
          </w:tcPr>
          <w:p>
            <w:r>
              <w:rPr>
                <w:b/>
              </w:rPr>
              <w:t>Borrower</w:t>
            </w:r>
          </w:p>
        </w:tc>
        <w:tc>
          <w:tcPr>
            <w:tcW w:type="dxa" w:w="1728"/>
          </w:tcPr>
          <w:p>
            <w:r>
              <w:rPr>
                <w:b/>
              </w:rPr>
              <w:t>Risk Rating</w:t>
            </w:r>
          </w:p>
        </w:tc>
        <w:tc>
          <w:tcPr>
            <w:tcW w:type="dxa" w:w="1728"/>
          </w:tcPr>
          <w:p>
            <w:r>
              <w:rPr>
                <w:b/>
              </w:rPr>
              <w:t>Policy Trigger</w:t>
            </w:r>
          </w:p>
        </w:tc>
        <w:tc>
          <w:tcPr>
            <w:tcW w:type="dxa" w:w="1728"/>
          </w:tcPr>
          <w:p>
            <w:r>
              <w:rPr>
                <w:b/>
              </w:rPr>
              <w:t>Payment Status</w:t>
            </w:r>
          </w:p>
        </w:tc>
      </w:tr>
      <w:tr>
        <w:tc>
          <w:tcPr>
            <w:tcW w:type="dxa" w:w="1728"/>
          </w:tcPr>
          <w:p>
            <w:r>
              <w:t>LN-001</w:t>
            </w:r>
          </w:p>
        </w:tc>
        <w:tc>
          <w:tcPr>
            <w:tcW w:type="dxa" w:w="1728"/>
          </w:tcPr>
          <w:p>
            <w:r>
              <w:t>ABC Industrial LLC</w:t>
            </w:r>
          </w:p>
        </w:tc>
        <w:tc>
          <w:tcPr>
            <w:tcW w:type="dxa" w:w="1728"/>
          </w:tcPr>
          <w:p>
            <w:r>
              <w:t>4</w:t>
            </w:r>
          </w:p>
        </w:tc>
        <w:tc>
          <w:tcPr>
            <w:tcW w:type="dxa" w:w="1728"/>
          </w:tcPr>
          <w:p>
            <w:r>
              <w:t>Rating ≥ 4</w:t>
            </w:r>
          </w:p>
        </w:tc>
        <w:tc>
          <w:tcPr>
            <w:tcW w:type="dxa" w:w="1728"/>
          </w:tcPr>
          <w:p>
            <w:r>
              <w:t>Current, 0 DPD</w:t>
            </w:r>
          </w:p>
        </w:tc>
      </w:tr>
      <w:tr>
        <w:tc>
          <w:tcPr>
            <w:tcW w:type="dxa" w:w="1728"/>
          </w:tcPr>
          <w:p>
            <w:r>
              <w:t>LN-002</w:t>
            </w:r>
          </w:p>
        </w:tc>
        <w:tc>
          <w:tcPr>
            <w:tcW w:type="dxa" w:w="1728"/>
          </w:tcPr>
          <w:p>
            <w:r>
              <w:t>XYZ Retail Partners</w:t>
            </w:r>
          </w:p>
        </w:tc>
        <w:tc>
          <w:tcPr>
            <w:tcW w:type="dxa" w:w="1728"/>
          </w:tcPr>
          <w:p>
            <w:r>
              <w:t>5</w:t>
            </w:r>
          </w:p>
        </w:tc>
        <w:tc>
          <w:tcPr>
            <w:tcW w:type="dxa" w:w="1728"/>
          </w:tcPr>
          <w:p>
            <w:r>
              <w:t>Rating ≥ 4</w:t>
            </w:r>
          </w:p>
        </w:tc>
        <w:tc>
          <w:tcPr>
            <w:tcW w:type="dxa" w:w="1728"/>
          </w:tcPr>
          <w:p>
            <w:r>
              <w:t>Past Due, 45 DPD</w:t>
            </w:r>
          </w:p>
        </w:tc>
      </w:tr>
      <w:tr>
        <w:tc>
          <w:tcPr>
            <w:tcW w:type="dxa" w:w="1728"/>
          </w:tcPr>
          <w:p>
            <w:r>
              <w:t>LN-008</w:t>
            </w:r>
          </w:p>
        </w:tc>
        <w:tc>
          <w:tcPr>
            <w:tcW w:type="dxa" w:w="1728"/>
          </w:tcPr>
          <w:p>
            <w:r>
              <w:t>Eta Print &amp; Packaging Inc.</w:t>
            </w:r>
          </w:p>
        </w:tc>
        <w:tc>
          <w:tcPr>
            <w:tcW w:type="dxa" w:w="1728"/>
          </w:tcPr>
          <w:p>
            <w:r>
              <w:t>6</w:t>
            </w:r>
          </w:p>
        </w:tc>
        <w:tc>
          <w:tcPr>
            <w:tcW w:type="dxa" w:w="1728"/>
          </w:tcPr>
          <w:p>
            <w:r>
              <w:t>Rating ≥ 4</w:t>
            </w:r>
          </w:p>
        </w:tc>
        <w:tc>
          <w:tcPr>
            <w:tcW w:type="dxa" w:w="1728"/>
          </w:tcPr>
          <w:p>
            <w:r>
              <w:t>97 DPD, Chapter 11</w:t>
            </w:r>
          </w:p>
        </w:tc>
      </w:tr>
    </w:tbl>
    <w:p/>
    <w:p>
      <w:pPr>
        <w:spacing w:after="80"/>
      </w:pPr>
      <w:r>
        <w:t>No other loan in the Loan Register carries a risk rating of 4 or above. LN-001 is on enhanced monitoring under a temporary DSCR waiver expiring March 31, 2026. LN-002 is subject to a formal payment demand issued December 8, 2025. LN-008 is in legal hold pending Chapter 11 bankruptcy proceedings.</w:t>
      </w:r>
    </w:p>
    <w:p>
      <w:pPr>
        <w:pStyle w:val="Heading2"/>
        <w:spacing w:before="240" w:after="80"/>
      </w:pPr>
      <w:r>
        <w:t>Concentration Risk</w:t>
      </w:r>
    </w:p>
    <w:p>
      <w:pPr>
        <w:spacing w:after="80"/>
      </w:pPr>
      <w:r>
        <w:t>Policy Section 6 sets three concentration limits: 15% for any single borrower, 40% for any single loan type, and 40% for any single loan officer. All three thresholds are exceeded as of Q4 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Category</w:t>
            </w:r>
          </w:p>
        </w:tc>
        <w:tc>
          <w:tcPr>
            <w:tcW w:type="dxa" w:w="1728"/>
          </w:tcPr>
          <w:p>
            <w:r>
              <w:rPr>
                <w:b/>
              </w:rPr>
              <w:t>Aggregate Balance</w:t>
            </w:r>
          </w:p>
        </w:tc>
        <w:tc>
          <w:tcPr>
            <w:tcW w:type="dxa" w:w="1728"/>
          </w:tcPr>
          <w:p>
            <w:r>
              <w:rPr>
                <w:b/>
              </w:rPr>
              <w:t>% of Portfolio</w:t>
            </w:r>
          </w:p>
        </w:tc>
        <w:tc>
          <w:tcPr>
            <w:tcW w:type="dxa" w:w="1728"/>
          </w:tcPr>
          <w:p>
            <w:r>
              <w:rPr>
                <w:b/>
              </w:rPr>
              <w:t>Policy Limit</w:t>
            </w:r>
          </w:p>
        </w:tc>
        <w:tc>
          <w:tcPr>
            <w:tcW w:type="dxa" w:w="1728"/>
          </w:tcPr>
          <w:p>
            <w:r>
              <w:rPr>
                <w:b/>
              </w:rPr>
              <w:t>Status</w:t>
            </w:r>
          </w:p>
        </w:tc>
      </w:tr>
      <w:tr>
        <w:tc>
          <w:tcPr>
            <w:tcW w:type="dxa" w:w="1728"/>
          </w:tcPr>
          <w:p>
            <w:r>
              <w:t>Single Borrower: C2 Tech Campus (LN-028)</w:t>
            </w:r>
          </w:p>
        </w:tc>
        <w:tc>
          <w:tcPr>
            <w:tcW w:type="dxa" w:w="1728"/>
          </w:tcPr>
          <w:p>
            <w:r>
              <w:t>$21,117,450</w:t>
            </w:r>
          </w:p>
        </w:tc>
        <w:tc>
          <w:tcPr>
            <w:tcW w:type="dxa" w:w="1728"/>
          </w:tcPr>
          <w:p>
            <w:r>
              <w:t>15.68%</w:t>
            </w:r>
          </w:p>
        </w:tc>
        <w:tc>
          <w:tcPr>
            <w:tcW w:type="dxa" w:w="1728"/>
          </w:tcPr>
          <w:p>
            <w:r>
              <w:t>15%</w:t>
            </w:r>
          </w:p>
        </w:tc>
        <w:tc>
          <w:tcPr>
            <w:tcW w:type="dxa" w:w="1728"/>
          </w:tcPr>
          <w:p>
            <w:r>
              <w:t>BREACH</w:t>
            </w:r>
          </w:p>
        </w:tc>
      </w:tr>
      <w:tr>
        <w:tc>
          <w:tcPr>
            <w:tcW w:type="dxa" w:w="1728"/>
          </w:tcPr>
          <w:p>
            <w:r>
              <w:t>Loan Type: Commercial Mortgage</w:t>
            </w:r>
          </w:p>
        </w:tc>
        <w:tc>
          <w:tcPr>
            <w:tcW w:type="dxa" w:w="1728"/>
          </w:tcPr>
          <w:p>
            <w:r>
              <w:t>$88,481,044</w:t>
            </w:r>
          </w:p>
        </w:tc>
        <w:tc>
          <w:tcPr>
            <w:tcW w:type="dxa" w:w="1728"/>
          </w:tcPr>
          <w:p>
            <w:r>
              <w:t>65.71%</w:t>
            </w:r>
          </w:p>
        </w:tc>
        <w:tc>
          <w:tcPr>
            <w:tcW w:type="dxa" w:w="1728"/>
          </w:tcPr>
          <w:p>
            <w:r>
              <w:t>40%</w:t>
            </w:r>
          </w:p>
        </w:tc>
        <w:tc>
          <w:tcPr>
            <w:tcW w:type="dxa" w:w="1728"/>
          </w:tcPr>
          <w:p>
            <w:r>
              <w:t>BREACH</w:t>
            </w:r>
          </w:p>
        </w:tc>
      </w:tr>
      <w:tr>
        <w:tc>
          <w:tcPr>
            <w:tcW w:type="dxa" w:w="1728"/>
          </w:tcPr>
          <w:p>
            <w:r>
              <w:t>Loan Officer: James Trotter</w:t>
            </w:r>
          </w:p>
        </w:tc>
        <w:tc>
          <w:tcPr>
            <w:tcW w:type="dxa" w:w="1728"/>
          </w:tcPr>
          <w:p>
            <w:r>
              <w:t>$82,101,025</w:t>
            </w:r>
          </w:p>
        </w:tc>
        <w:tc>
          <w:tcPr>
            <w:tcW w:type="dxa" w:w="1728"/>
          </w:tcPr>
          <w:p>
            <w:r>
              <w:t>60.97%</w:t>
            </w:r>
          </w:p>
        </w:tc>
        <w:tc>
          <w:tcPr>
            <w:tcW w:type="dxa" w:w="1728"/>
          </w:tcPr>
          <w:p>
            <w:r>
              <w:t>40%</w:t>
            </w:r>
          </w:p>
        </w:tc>
        <w:tc>
          <w:tcPr>
            <w:tcW w:type="dxa" w:w="1728"/>
          </w:tcPr>
          <w:p>
            <w:r>
              <w:t>BREACH</w:t>
            </w:r>
          </w:p>
        </w:tc>
      </w:tr>
    </w:tbl>
    <w:p/>
    <w:p>
      <w:pPr>
        <w:spacing w:after="80"/>
      </w:pPr>
      <w:r>
        <w:t>Commercial Mortgage balance is the sum of nine loans in the Loan Register classified as that type: LN-002 ($7,214,889) + LN-007 ($13,574,180) + LN-010 ($3,108,775) + LN-014 ($3,895,540) + LN-016 ($10,874,320) + LN-020 ($6,582,440) + LN-022 ($17,224,110) + LN-026 ($4,889,340) + LN-028 ($21,117,450) = $88,481,044 (65.71% of $134,656,509). James Trotter manages nine loans per the Loan Register: LN-004 ($2,973,140) + LN-007 ($13,574,180) + LN-010 ($3,108,775) + LN-012 ($4,117,930) + LN-016 ($10,874,320) + LN-019 ($4,221,780) + LN-022 ($17,224,110) + LN-026 ($4,889,340) + LN-028 ($21,117,450) = $82,101,025 (60.97%). C2 Tech Campus (LN-028) at $21,117,450 represents 15.68% of the portfolio, exceeding the single-borrower cap by approximately $914,000 in excess exposure. All percentages are calculated against the total portfolio balance of $134,656,509.</w:t>
      </w:r>
    </w:p>
    <w:p>
      <w:pPr>
        <w:pStyle w:val="Heading1"/>
        <w:spacing w:before="240" w:after="80"/>
      </w:pPr>
      <w:r>
        <w:t>5. Exception Tracking</w:t>
      </w:r>
    </w:p>
    <w:p>
      <w:pPr>
        <w:spacing w:after="80"/>
      </w:pPr>
      <w:r>
        <w:t>Eleven exceptions are currently open as of Q4 2025, transcribed directly from Exception_Tracking_Log_Q4_2025.xlsx. All exceptions were logged within the required ten-business-day window from the date of identification.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Exception ID</w:t>
            </w:r>
          </w:p>
        </w:tc>
        <w:tc>
          <w:tcPr>
            <w:tcW w:type="dxa" w:w="1728"/>
          </w:tcPr>
          <w:p>
            <w:r>
              <w:rPr>
                <w:b/>
              </w:rPr>
              <w:t>Loan ID</w:t>
            </w:r>
          </w:p>
        </w:tc>
        <w:tc>
          <w:tcPr>
            <w:tcW w:type="dxa" w:w="1728"/>
          </w:tcPr>
          <w:p>
            <w:r>
              <w:rPr>
                <w:b/>
              </w:rPr>
              <w:t>Borrower</w:t>
            </w:r>
          </w:p>
        </w:tc>
        <w:tc>
          <w:tcPr>
            <w:tcW w:type="dxa" w:w="1728"/>
          </w:tcPr>
          <w:p>
            <w:r>
              <w:rPr>
                <w:b/>
              </w:rPr>
              <w:t>Exception Type</w:t>
            </w:r>
          </w:p>
        </w:tc>
        <w:tc>
          <w:tcPr>
            <w:tcW w:type="dxa" w:w="1728"/>
          </w:tcPr>
          <w:p>
            <w:r>
              <w:rPr>
                <w:b/>
              </w:rPr>
              <w:t>Current Status</w:t>
            </w:r>
          </w:p>
        </w:tc>
      </w:tr>
      <w:tr>
        <w:tc>
          <w:tcPr>
            <w:tcW w:type="dxa" w:w="1728"/>
          </w:tcPr>
          <w:p>
            <w:r>
              <w:t>EXC-001</w:t>
            </w:r>
          </w:p>
        </w:tc>
        <w:tc>
          <w:tcPr>
            <w:tcW w:type="dxa" w:w="1728"/>
          </w:tcPr>
          <w:p>
            <w:r>
              <w:t>LN-001</w:t>
            </w:r>
          </w:p>
        </w:tc>
        <w:tc>
          <w:tcPr>
            <w:tcW w:type="dxa" w:w="1728"/>
          </w:tcPr>
          <w:p>
            <w:r>
              <w:t>ABC Industrial LLC</w:t>
            </w:r>
          </w:p>
        </w:tc>
        <w:tc>
          <w:tcPr>
            <w:tcW w:type="dxa" w:w="1728"/>
          </w:tcPr>
          <w:p>
            <w:r>
              <w:t>DSCR Covenant Breach</w:t>
            </w:r>
          </w:p>
        </w:tc>
        <w:tc>
          <w:tcPr>
            <w:tcW w:type="dxa" w:w="1728"/>
          </w:tcPr>
          <w:p>
            <w:r>
              <w:t>Open — Monitoring</w:t>
            </w:r>
          </w:p>
        </w:tc>
      </w:tr>
      <w:tr>
        <w:tc>
          <w:tcPr>
            <w:tcW w:type="dxa" w:w="1728"/>
          </w:tcPr>
          <w:p>
            <w:r>
              <w:t>EXC-002</w:t>
            </w:r>
          </w:p>
        </w:tc>
        <w:tc>
          <w:tcPr>
            <w:tcW w:type="dxa" w:w="1728"/>
          </w:tcPr>
          <w:p>
            <w:r>
              <w:t>LN-002</w:t>
            </w:r>
          </w:p>
        </w:tc>
        <w:tc>
          <w:tcPr>
            <w:tcW w:type="dxa" w:w="1728"/>
          </w:tcPr>
          <w:p>
            <w:r>
              <w:t>XYZ Retail Partners</w:t>
            </w:r>
          </w:p>
        </w:tc>
        <w:tc>
          <w:tcPr>
            <w:tcW w:type="dxa" w:w="1728"/>
          </w:tcPr>
          <w:p>
            <w:r>
              <w:t>LTV Covenant Breach</w:t>
            </w:r>
          </w:p>
        </w:tc>
        <w:tc>
          <w:tcPr>
            <w:tcW w:type="dxa" w:w="1728"/>
          </w:tcPr>
          <w:p>
            <w:r>
              <w:t>Open — Escalated to Watch List</w:t>
            </w:r>
          </w:p>
        </w:tc>
      </w:tr>
      <w:tr>
        <w:tc>
          <w:tcPr>
            <w:tcW w:type="dxa" w:w="1728"/>
          </w:tcPr>
          <w:p>
            <w:r>
              <w:t>EXC-003</w:t>
            </w:r>
          </w:p>
        </w:tc>
        <w:tc>
          <w:tcPr>
            <w:tcW w:type="dxa" w:w="1728"/>
          </w:tcPr>
          <w:p>
            <w:r>
              <w:t>LN-002</w:t>
            </w:r>
          </w:p>
        </w:tc>
        <w:tc>
          <w:tcPr>
            <w:tcW w:type="dxa" w:w="1728"/>
          </w:tcPr>
          <w:p>
            <w:r>
              <w:t>XYZ Retail Partners</w:t>
            </w:r>
          </w:p>
        </w:tc>
        <w:tc>
          <w:tcPr>
            <w:tcW w:type="dxa" w:w="1728"/>
          </w:tcPr>
          <w:p>
            <w:r>
              <w:t>Current Ratio Breach</w:t>
            </w:r>
          </w:p>
        </w:tc>
        <w:tc>
          <w:tcPr>
            <w:tcW w:type="dxa" w:w="1728"/>
          </w:tcPr>
          <w:p>
            <w:r>
              <w:t>Open — Escalated to Watch List</w:t>
            </w:r>
          </w:p>
        </w:tc>
      </w:tr>
      <w:tr>
        <w:tc>
          <w:tcPr>
            <w:tcW w:type="dxa" w:w="1728"/>
          </w:tcPr>
          <w:p>
            <w:r>
              <w:t>EXC-004</w:t>
            </w:r>
          </w:p>
        </w:tc>
        <w:tc>
          <w:tcPr>
            <w:tcW w:type="dxa" w:w="1728"/>
          </w:tcPr>
          <w:p>
            <w:r>
              <w:t>LN-002</w:t>
            </w:r>
          </w:p>
        </w:tc>
        <w:tc>
          <w:tcPr>
            <w:tcW w:type="dxa" w:w="1728"/>
          </w:tcPr>
          <w:p>
            <w:r>
              <w:t>XYZ Retail Partners</w:t>
            </w:r>
          </w:p>
        </w:tc>
        <w:tc>
          <w:tcPr>
            <w:tcW w:type="dxa" w:w="1728"/>
          </w:tcPr>
          <w:p>
            <w:r>
              <w:t>Payment Delinquency</w:t>
            </w:r>
          </w:p>
        </w:tc>
        <w:tc>
          <w:tcPr>
            <w:tcW w:type="dxa" w:w="1728"/>
          </w:tcPr>
          <w:p>
            <w:r>
              <w:t>Open — Formal demand issued</w:t>
            </w:r>
          </w:p>
        </w:tc>
      </w:tr>
      <w:tr>
        <w:tc>
          <w:tcPr>
            <w:tcW w:type="dxa" w:w="1728"/>
          </w:tcPr>
          <w:p>
            <w:r>
              <w:t>EXC-005</w:t>
            </w:r>
          </w:p>
        </w:tc>
        <w:tc>
          <w:tcPr>
            <w:tcW w:type="dxa" w:w="1728"/>
          </w:tcPr>
          <w:p>
            <w:r>
              <w:t>LN-004</w:t>
            </w:r>
          </w:p>
        </w:tc>
        <w:tc>
          <w:tcPr>
            <w:tcW w:type="dxa" w:w="1728"/>
          </w:tcPr>
          <w:p>
            <w:r>
              <w:t>Delta Auto Group</w:t>
            </w:r>
          </w:p>
        </w:tc>
        <w:tc>
          <w:tcPr>
            <w:tcW w:type="dxa" w:w="1728"/>
          </w:tcPr>
          <w:p>
            <w:r>
              <w:t>DSCR Covenant Breach</w:t>
            </w:r>
          </w:p>
        </w:tc>
        <w:tc>
          <w:tcPr>
            <w:tcW w:type="dxa" w:w="1728"/>
          </w:tcPr>
          <w:p>
            <w:r>
              <w:t>Open — Monitoring</w:t>
            </w:r>
          </w:p>
        </w:tc>
      </w:tr>
      <w:tr>
        <w:tc>
          <w:tcPr>
            <w:tcW w:type="dxa" w:w="1728"/>
          </w:tcPr>
          <w:p>
            <w:r>
              <w:t>EXC-006</w:t>
            </w:r>
          </w:p>
        </w:tc>
        <w:tc>
          <w:tcPr>
            <w:tcW w:type="dxa" w:w="1728"/>
          </w:tcPr>
          <w:p>
            <w:r>
              <w:t>LN-004</w:t>
            </w:r>
          </w:p>
        </w:tc>
        <w:tc>
          <w:tcPr>
            <w:tcW w:type="dxa" w:w="1728"/>
          </w:tcPr>
          <w:p>
            <w:r>
              <w:t>Delta Auto Group</w:t>
            </w:r>
          </w:p>
        </w:tc>
        <w:tc>
          <w:tcPr>
            <w:tcW w:type="dxa" w:w="1728"/>
          </w:tcPr>
          <w:p>
            <w:r>
              <w:t>Payment Delinquency</w:t>
            </w:r>
          </w:p>
        </w:tc>
        <w:tc>
          <w:tcPr>
            <w:tcW w:type="dxa" w:w="1728"/>
          </w:tcPr>
          <w:p>
            <w:r>
              <w:t>Open — Awaiting payment confirmation</w:t>
            </w:r>
          </w:p>
        </w:tc>
      </w:tr>
      <w:tr>
        <w:tc>
          <w:tcPr>
            <w:tcW w:type="dxa" w:w="1728"/>
          </w:tcPr>
          <w:p>
            <w:r>
              <w:t>EXC-007</w:t>
            </w:r>
          </w:p>
        </w:tc>
        <w:tc>
          <w:tcPr>
            <w:tcW w:type="dxa" w:w="1728"/>
          </w:tcPr>
          <w:p>
            <w:r>
              <w:t>LN-006</w:t>
            </w:r>
          </w:p>
        </w:tc>
        <w:tc>
          <w:tcPr>
            <w:tcW w:type="dxa" w:w="1728"/>
          </w:tcPr>
          <w:p>
            <w:r>
              <w:t>Epsilon Restaurant Group</w:t>
            </w:r>
          </w:p>
        </w:tc>
        <w:tc>
          <w:tcPr>
            <w:tcW w:type="dxa" w:w="1728"/>
          </w:tcPr>
          <w:p>
            <w:r>
              <w:t>Current Ratio Breach</w:t>
            </w:r>
          </w:p>
        </w:tc>
        <w:tc>
          <w:tcPr>
            <w:tcW w:type="dxa" w:w="1728"/>
          </w:tcPr>
          <w:p>
            <w:r>
              <w:t>Open — Follow-up Scheduled</w:t>
            </w:r>
          </w:p>
        </w:tc>
      </w:tr>
      <w:tr>
        <w:tc>
          <w:tcPr>
            <w:tcW w:type="dxa" w:w="1728"/>
          </w:tcPr>
          <w:p>
            <w:r>
              <w:t>EXC-008</w:t>
            </w:r>
          </w:p>
        </w:tc>
        <w:tc>
          <w:tcPr>
            <w:tcW w:type="dxa" w:w="1728"/>
          </w:tcPr>
          <w:p>
            <w:r>
              <w:t>LN-008</w:t>
            </w:r>
          </w:p>
        </w:tc>
        <w:tc>
          <w:tcPr>
            <w:tcW w:type="dxa" w:w="1728"/>
          </w:tcPr>
          <w:p>
            <w:r>
              <w:t>Eta Print &amp; Packaging Inc.</w:t>
            </w:r>
          </w:p>
        </w:tc>
        <w:tc>
          <w:tcPr>
            <w:tcW w:type="dxa" w:w="1728"/>
          </w:tcPr>
          <w:p>
            <w:r>
              <w:t>DSCR Covenant Breach</w:t>
            </w:r>
          </w:p>
        </w:tc>
        <w:tc>
          <w:tcPr>
            <w:tcW w:type="dxa" w:w="1728"/>
          </w:tcPr>
          <w:p>
            <w:r>
              <w:t>Open — Legal Hold</w:t>
            </w:r>
          </w:p>
        </w:tc>
      </w:tr>
      <w:tr>
        <w:tc>
          <w:tcPr>
            <w:tcW w:type="dxa" w:w="1728"/>
          </w:tcPr>
          <w:p>
            <w:r>
              <w:t>EXC-009</w:t>
            </w:r>
          </w:p>
        </w:tc>
        <w:tc>
          <w:tcPr>
            <w:tcW w:type="dxa" w:w="1728"/>
          </w:tcPr>
          <w:p>
            <w:r>
              <w:t>LN-008</w:t>
            </w:r>
          </w:p>
        </w:tc>
        <w:tc>
          <w:tcPr>
            <w:tcW w:type="dxa" w:w="1728"/>
          </w:tcPr>
          <w:p>
            <w:r>
              <w:t>Eta Print &amp; Packaging Inc.</w:t>
            </w:r>
          </w:p>
        </w:tc>
        <w:tc>
          <w:tcPr>
            <w:tcW w:type="dxa" w:w="1728"/>
          </w:tcPr>
          <w:p>
            <w:r>
              <w:t>LTV Covenant Breach</w:t>
            </w:r>
          </w:p>
        </w:tc>
        <w:tc>
          <w:tcPr>
            <w:tcW w:type="dxa" w:w="1728"/>
          </w:tcPr>
          <w:p>
            <w:r>
              <w:t>Open — Legal Hold</w:t>
            </w:r>
          </w:p>
        </w:tc>
      </w:tr>
      <w:tr>
        <w:tc>
          <w:tcPr>
            <w:tcW w:type="dxa" w:w="1728"/>
          </w:tcPr>
          <w:p>
            <w:r>
              <w:t>EXC-010</w:t>
            </w:r>
          </w:p>
        </w:tc>
        <w:tc>
          <w:tcPr>
            <w:tcW w:type="dxa" w:w="1728"/>
          </w:tcPr>
          <w:p>
            <w:r>
              <w:t>LN-008</w:t>
            </w:r>
          </w:p>
        </w:tc>
        <w:tc>
          <w:tcPr>
            <w:tcW w:type="dxa" w:w="1728"/>
          </w:tcPr>
          <w:p>
            <w:r>
              <w:t>Eta Print &amp; Packaging Inc.</w:t>
            </w:r>
          </w:p>
        </w:tc>
        <w:tc>
          <w:tcPr>
            <w:tcW w:type="dxa" w:w="1728"/>
          </w:tcPr>
          <w:p>
            <w:r>
              <w:t>Non-Performing / 90+ DPD</w:t>
            </w:r>
          </w:p>
        </w:tc>
        <w:tc>
          <w:tcPr>
            <w:tcW w:type="dxa" w:w="1728"/>
          </w:tcPr>
          <w:p>
            <w:r>
              <w:t>Open — Loss Reserve Active</w:t>
            </w:r>
          </w:p>
        </w:tc>
      </w:tr>
      <w:tr>
        <w:tc>
          <w:tcPr>
            <w:tcW w:type="dxa" w:w="1728"/>
          </w:tcPr>
          <w:p>
            <w:r>
              <w:t>EXC-011</w:t>
            </w:r>
          </w:p>
        </w:tc>
        <w:tc>
          <w:tcPr>
            <w:tcW w:type="dxa" w:w="1728"/>
          </w:tcPr>
          <w:p>
            <w:r>
              <w:t>LN-010</w:t>
            </w:r>
          </w:p>
        </w:tc>
        <w:tc>
          <w:tcPr>
            <w:tcW w:type="dxa" w:w="1728"/>
          </w:tcPr>
          <w:p>
            <w:r>
              <w:t>Iota Storage Partners</w:t>
            </w:r>
          </w:p>
        </w:tc>
        <w:tc>
          <w:tcPr>
            <w:tcW w:type="dxa" w:w="1728"/>
          </w:tcPr>
          <w:p>
            <w:r>
              <w:t>LTV Covenant Breach</w:t>
            </w:r>
          </w:p>
        </w:tc>
        <w:tc>
          <w:tcPr>
            <w:tcW w:type="dxa" w:w="1728"/>
          </w:tcPr>
          <w:p>
            <w:r>
              <w:t>Open — Appraisal Dispute</w:t>
            </w:r>
          </w:p>
        </w:tc>
      </w:tr>
    </w:tbl>
    <w:p/>
    <w:p>
      <w:pPr>
        <w:spacing w:after="80"/>
      </w:pPr>
      <w:r>
        <w:t>EXC-001: A remediation plan was submitted January 12, 2026; a temporary waiver was issued expiring March 31, 2026, pending ABC Industrial LLC remediation. EXC-008 through EXC-010 are in legal hold due to the Chapter 11 filing by Eta Print &amp; Packaging Inc. on December 9, 2025, as documented in the exception log. EXC-011 is under appraisal dispute; the lender is challenging the November 2025 updated valuation that reduced collateral from $4.4M to $3.65M.</w:t>
      </w:r>
    </w:p>
    <w:p>
      <w:pPr>
        <w:pStyle w:val="Heading1"/>
        <w:spacing w:before="240" w:after="80"/>
      </w:pPr>
      <w:r>
        <w:t>6. Non-Performing Loan Schedule</w:t>
      </w:r>
    </w:p>
    <w:p>
      <w:pPr>
        <w:spacing w:after="80"/>
      </w:pPr>
      <w:r>
        <w:t>One loan meets the policy definition of non-performing: 90 or more days past due or placed on non-accrual status. This classification is supported by the Days Past Due and Payment Status fields in Loan_Register_Q4_2025.xlsx, corroborated by Exception EXC-010 in the Exception Tracking Log (which records this loan at 97 days past due with a loss reserve established), and further confirmed by the Appraisal Summary note referencing the Chapter 11 filing in December 2025.</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Loan ID</w:t>
            </w:r>
          </w:p>
        </w:tc>
        <w:tc>
          <w:tcPr>
            <w:tcW w:type="dxa" w:w="1440"/>
          </w:tcPr>
          <w:p>
            <w:r>
              <w:rPr>
                <w:b/>
              </w:rPr>
              <w:t>Borrower</w:t>
            </w:r>
          </w:p>
        </w:tc>
        <w:tc>
          <w:tcPr>
            <w:tcW w:type="dxa" w:w="1440"/>
          </w:tcPr>
          <w:p>
            <w:r>
              <w:rPr>
                <w:b/>
              </w:rPr>
              <w:t>Outstanding Balance</w:t>
            </w:r>
          </w:p>
        </w:tc>
        <w:tc>
          <w:tcPr>
            <w:tcW w:type="dxa" w:w="1440"/>
          </w:tcPr>
          <w:p>
            <w:r>
              <w:rPr>
                <w:b/>
              </w:rPr>
              <w:t>DPD</w:t>
            </w:r>
          </w:p>
        </w:tc>
        <w:tc>
          <w:tcPr>
            <w:tcW w:type="dxa" w:w="1440"/>
          </w:tcPr>
          <w:p>
            <w:r>
              <w:rPr>
                <w:b/>
              </w:rPr>
              <w:t>Payment Status</w:t>
            </w:r>
          </w:p>
        </w:tc>
        <w:tc>
          <w:tcPr>
            <w:tcW w:type="dxa" w:w="1440"/>
          </w:tcPr>
          <w:p>
            <w:r>
              <w:rPr>
                <w:b/>
              </w:rPr>
              <w:t>Legal Event</w:t>
            </w:r>
          </w:p>
        </w:tc>
      </w:tr>
      <w:tr>
        <w:tc>
          <w:tcPr>
            <w:tcW w:type="dxa" w:w="1440"/>
          </w:tcPr>
          <w:p>
            <w:r>
              <w:t>LN-008</w:t>
            </w:r>
          </w:p>
        </w:tc>
        <w:tc>
          <w:tcPr>
            <w:tcW w:type="dxa" w:w="1440"/>
          </w:tcPr>
          <w:p>
            <w:r>
              <w:t>Eta Print &amp; Packaging Inc.</w:t>
            </w:r>
          </w:p>
        </w:tc>
        <w:tc>
          <w:tcPr>
            <w:tcW w:type="dxa" w:w="1440"/>
          </w:tcPr>
          <w:p>
            <w:r>
              <w:t>$1,087,640</w:t>
            </w:r>
          </w:p>
        </w:tc>
        <w:tc>
          <w:tcPr>
            <w:tcW w:type="dxa" w:w="1440"/>
          </w:tcPr>
          <w:p>
            <w:r>
              <w:t>97</w:t>
            </w:r>
          </w:p>
        </w:tc>
        <w:tc>
          <w:tcPr>
            <w:tcW w:type="dxa" w:w="1440"/>
          </w:tcPr>
          <w:p>
            <w:r>
              <w:t>Non-accrual</w:t>
            </w:r>
          </w:p>
        </w:tc>
        <w:tc>
          <w:tcPr>
            <w:tcW w:type="dxa" w:w="1440"/>
          </w:tcPr>
          <w:p>
            <w:r>
              <w:t>Chapter 11 filed December 9, 2025</w:t>
            </w:r>
          </w:p>
        </w:tc>
      </w:tr>
    </w:tbl>
    <w:p/>
    <w:p>
      <w:pPr>
        <w:spacing w:after="80"/>
      </w:pPr>
      <w:r>
        <w:t>Loan LN-008 is carried at an outstanding balance of $1,087,640 against manufacturing equipment collateral appraised at $830,000, yielding an LTV of 130.9%. A loss reserve has been established as noted in EXC-010. The Chapter 11 filing is documented in both the Exception Tracking Log (EXC-008 description) and the Appraisal Summary collateral inspection note dated December 2025. No additional loans in the portfolio meet the 90-day past-due or non-accrual threshold at this review date.</w:t>
      </w:r>
    </w:p>
    <w:p>
      <w:pPr>
        <w:spacing w:after="80"/>
      </w:pPr>
      <w:r>
        <w:t>Note: LN-002 is 45 days past due (Watch List, not non-performing) and LN-004 is 15 days past due (delinquency exception only). Neither has crossed the 90-day threshold or been placed on non-accrual status.</w:t>
      </w:r>
    </w:p>
    <w:p>
      <w:pPr>
        <w:pStyle w:val="Heading1"/>
        <w:spacing w:before="240" w:after="80"/>
      </w:pPr>
      <w:r>
        <w:t>7. Final Portfolio Risk Assessment</w:t>
      </w:r>
    </w:p>
    <w:p>
      <w:pPr>
        <w:spacing w:after="80"/>
      </w:pPr>
      <w:r>
        <w:t>The Q4 2025 Tri-County commercial loan portfolio carries a moderately elevated risk profile driven by four interconnected concerns identified through this review:</w:t>
      </w:r>
    </w:p>
    <w:p>
      <w:pPr>
        <w:spacing w:after="80"/>
      </w:pPr>
      <w:r>
        <w:t>1. Covenant breaches: Nine individual covenant violations across six affected loans indicate broad-based financial stress in a subset of the portfolio. LN-008 carries simultaneous DSCR (0.81x vs. 1.20x minimum), LTV (130.9% vs. 80% maximum), and Current Ratio (0.72x vs. 1.10x minimum) failures — the most severely distressed credit in the book. LN-001 and LN-004 carry DSCR breaches that are currently being remediated. LN-002 carries concurrent LTV and Current Ratio breaches accompanied by a 45-day payment delinquency.</w:t>
      </w:r>
    </w:p>
    <w:p>
      <w:pPr>
        <w:spacing w:after="80"/>
      </w:pPr>
      <w:r>
        <w:t>2. Non-performing exposure: LN-008 (Eta Print &amp; Packaging Inc.) is 97 days past due and in Chapter 11 bankruptcy. With collateral coverage at only 76% of outstanding principal ($830,000 appraised vs. $1,087,640 outstanding), loss exposure is material. A loss reserve is active per EXC-010.</w:t>
      </w:r>
    </w:p>
    <w:p>
      <w:pPr>
        <w:spacing w:after="80"/>
      </w:pPr>
      <w:r>
        <w:t>3. Watch List concentration: Three loans — LN-001 (Risk Rating 4), LN-002 (Risk Rating 5), and LN-008 (Risk Rating 6) — qualify for Watch List status under policy Section 4. Their combined outstanding balance is approximately $12.1M. LN-001 holds a temporary DSCR waiver expiring March 31, 2026; LN-002 has received a formal payment demand and carries dual covenant exceptions.</w:t>
      </w:r>
    </w:p>
    <w:p>
      <w:pPr>
        <w:spacing w:after="80"/>
      </w:pPr>
      <w:r>
        <w:t>4. Concentration risk: Commercial Mortgage loans represent 65.71% of the portfolio (policy limit 40%), the James Trotter loan-officer book represents 60.97% of total outstanding (policy limit 40%), and a single borrower — C2 Tech Campus — accounts for 15.68% of total outstanding (policy limit 15%). These structural over-concentrations amplify systemic risk if any segment experiences adverse market conditions. Portfolio rebalancing and officer-level diversification should be prioritized.</w:t>
      </w:r>
    </w:p>
    <w:p>
      <w:pPr>
        <w:spacing w:after="80"/>
      </w:pPr>
      <w:r>
        <w:t>The remaining 23 loans appear to be performing within their covenant thresholds and are current on payments. Overall portfolio quality is adequate but requires close management of the six breaching credits and active concentration monitoring through 2026.</w:t>
      </w:r>
    </w:p>
    <w:p>
      <w:pPr>
        <w:pStyle w:val="Heading1"/>
        <w:spacing w:before="240" w:after="80"/>
      </w:pPr>
      <w:r>
        <w:t>8. Policy/Source Reconciliation</w:t>
      </w:r>
    </w:p>
    <w:p>
      <w:pPr>
        <w:spacing w:after="80"/>
      </w:pPr>
      <w:r>
        <w:t>This section documents how all reported findings were derived and cross-checked against the underlying source files in accordance with the Loan Portfolio Review Policy requirement to verify pre-calculated fields against source data and resolve any source conflicts by applying the policy strictly.</w:t>
      </w:r>
    </w:p>
    <w:p>
      <w:pPr>
        <w:spacing w:after="80"/>
      </w:pPr>
      <w:r>
        <w:t>Portfolio size: The total outstanding balance of $134,656,509 was computed by summing all 29 Outstanding Balance fields in Loan_Register_Q4_2025.xlsx. Loan count was independently confirmed from the row count of the same register (LN-001 through LN-029). No pre-calculated total appears in the source file; this figure was derived entirely from underlying row-level data.</w:t>
      </w:r>
    </w:p>
    <w:p>
      <w:pPr>
        <w:spacing w:after="80"/>
      </w:pPr>
      <w:r>
        <w:t>Covenant thresholds and pre-calculated metrics: DSCR minimums, LTV maximums, and Current Ratio minimums were taken from the per-loan threshold columns in Covenant_Compliance_Workbook_Q4_2025.xlsx (pre-calculated fields). Each actual covenant metric was also independently verified against the underlying source data: (a) DSCR was recomputed by dividing Net Operating Income by Total Annual Debt Service from Borrower_Financial_Statements_Summary.xlsx — computed values matched workbook values to within one basis point for all loans tested (e.g., LN-001: computed 1.07x, workbook 1.07x; LN-004: computed 1.14x, workbook 1.14x; LN-008: computed 0.81x, workbook 0.81x); (b) LTV was recomputed by dividing the Loan Register outstanding balance by the Appraisal Summary appraised value — computed values matched the workbook within rounding for all three breach cases (LN-002: 87.9%, LN-008: 130.9%, LN-010: 85.2%); (c) Current Ratio was recomputed as Current Assets divided by Current Liabilities from the Financial Statements file — all three breach values matched the workbook figures. No material conflicts were identified between the pre-calculated workbook values and the independently derived calculations; where minor rounding differences appeared (±0.01), the workbook value was used as the primary reference, consistent with policy guidance to apply stated covenant metrics unless an underlying data conflict is found.</w:t>
      </w:r>
    </w:p>
    <w:p>
      <w:pPr>
        <w:spacing w:after="80"/>
      </w:pPr>
      <w:r>
        <w:t>Watch List: Risk ratings were sourced exclusively from the Internal Risk Rating column of the Loan Register. Policy Section 4 specifies Rating ≥ 4 as the trigger. Three loans qualify (LN-001 at 4, LN-002 at 5, LN-008 at 6). No source conflict exists; the Loan Register is the single authoritative source for risk ratings.</w:t>
      </w:r>
    </w:p>
    <w:p>
      <w:pPr>
        <w:spacing w:after="80"/>
      </w:pPr>
      <w:r>
        <w:t>Non-performing classification: The 97-DPD status of LN-008 was read from the Payment Status field ("97 Days Past Due") and Days Past Due column (97) of the Loan Register. This classification is corroborated by Exception EXC-010 (Exception Tracking Log), which independently records the loan at 97 days past due with a loss reserve, and by the Appraisal Summary collateral inspection note for LN-008, which references the Chapter 11 filing in December 2025. Three independent source fields across two files confirm this status; no conflict exists. No other loan crosses the 90-day threshold.</w:t>
      </w:r>
    </w:p>
    <w:p>
      <w:pPr>
        <w:spacing w:after="80"/>
      </w:pPr>
      <w:r>
        <w:t>Concentration risk: Commercial Mortgage balances were summed across all nine loans of that type in the Loan Register ($88,481,044 = 65.71%). James Trotter balances were summed across his nine assigned loans in the Relationship Officer column ($82,101,025 = 60.97%). C2 Tech Campus balance was read directly from the Loan Register ($21,117,450 = 15.68%). All percentages are expressed relative to the computed portfolio total of $134,656,509. No pre-calculated concentration figures exist in the source files; all were derived from underlying data.</w:t>
      </w:r>
    </w:p>
    <w:p>
      <w:pPr>
        <w:spacing w:after="80"/>
      </w:pPr>
      <w:r>
        <w:t>Exception log: All 11 exception records were transcribed exactly from Exception_Tracking_Log_Q4_2025.xlsx, preserving Exception ID, Loan ID, Borrower Name, Exception Type, and Current Status without modification. Exception descriptions were used solely to corroborate other findings and were not independently assumed as facts unless supported by a second source 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