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COMMERCIAL LOAN PORTFOLIO REVIEW POLICY</w:t>
      </w:r>
    </w:p>
    <w:p>
      <w:pPr>
        <w:jc w:val="center"/>
      </w:pPr>
      <w:r>
        <w:rPr>
          <w:sz w:val="22"/>
        </w:rPr>
        <w:t>Tri-County Community Bank | Credit Risk Division</w:t>
      </w:r>
    </w:p>
    <w:p>
      <w:pPr>
        <w:jc w:val="center"/>
      </w:pPr>
      <w:r>
        <w:rPr>
          <w:sz w:val="20"/>
        </w:rPr>
        <w:t>Policy Effective Date: January 1, 2025 | Review Cycle: Annual</w:t>
      </w:r>
    </w:p>
    <w:p>
      <w:pPr>
        <w:pStyle w:val="Heading1"/>
      </w:pPr>
      <w:r>
        <w:t>1. Purpose and Scope</w:t>
      </w:r>
    </w:p>
    <w:p>
      <w:r>
        <w:t>This policy establishes the requirements and procedures for conducting quarterly commercial loan portfolio reviews at Tri-County Community Bank. The review process ensures that the Bank maintains an accurate, current understanding of credit quality, covenant compliance, collateral adequacy, and portfolio concentration risk across all commercial loan relationships exceeding $250,000 in outstanding balance. Relationships below this threshold are subject to annual review only. Loan Officers are responsible for maintaining the accuracy of loan data and must submit updated financial statements and compliance certifications for each borrower no later than 45 days following the end of each fiscal quarter.</w:t>
      </w:r>
    </w:p>
    <w:p>
      <w:pPr>
        <w:pStyle w:val="Heading1"/>
      </w:pPr>
      <w:r>
        <w:t>2. Definitions</w:t>
      </w:r>
    </w:p>
    <w:p>
      <w:r>
        <w:rPr>
          <w:b/>
        </w:rPr>
        <w:t xml:space="preserve">Debt Service Coverage Ratio (DSCR): </w:t>
      </w:r>
      <w:r>
        <w:t>Net Operating Income divided by Total Annual Debt Service. Represents the borrower's ability to service its debt from operating cash flows.</w:t>
      </w:r>
    </w:p>
    <w:p>
      <w:r>
        <w:rPr>
          <w:b/>
        </w:rPr>
        <w:t xml:space="preserve">Loan-to-Value Ratio (LTV): </w:t>
      </w:r>
      <w:r>
        <w:t>Outstanding loan balance divided by the current appraised value of pledged collateral, expressed as a percentage.</w:t>
      </w:r>
    </w:p>
    <w:p>
      <w:r>
        <w:rPr>
          <w:b/>
        </w:rPr>
        <w:t xml:space="preserve">Current Ratio: </w:t>
      </w:r>
      <w:r>
        <w:t>Current assets divided by current liabilities. Measures short-term liquidity.</w:t>
      </w:r>
    </w:p>
    <w:p>
      <w:r>
        <w:rPr>
          <w:b/>
        </w:rPr>
        <w:t xml:space="preserve">Non-Performing Loan (NPL): </w:t>
      </w:r>
      <w:r>
        <w:t>Any loan that is 90 or more calendar days past due, or for which the borrower is not expected to repay without collateral liquidation.</w:t>
      </w:r>
    </w:p>
    <w:p>
      <w:r>
        <w:rPr>
          <w:b/>
        </w:rPr>
        <w:t xml:space="preserve">Watch List: </w:t>
      </w:r>
      <w:r>
        <w:t>Loans assigned an Internal Risk Rating of 4 or higher that require heightened monitoring, more frequent review, and documented remediation plans.</w:t>
      </w:r>
    </w:p>
    <w:p>
      <w:r>
        <w:rPr>
          <w:b/>
        </w:rPr>
        <w:t xml:space="preserve">Covenant Exception: </w:t>
      </w:r>
      <w:r>
        <w:t>Any instance where a borrower fails to meet a financial covenant specified in the loan agreement, regardless of whether a formal waiver has been issued.</w:t>
      </w:r>
    </w:p>
    <w:p>
      <w:r>
        <w:rPr>
          <w:b/>
        </w:rPr>
        <w:t xml:space="preserve">Specific Loss Reserve: </w:t>
      </w:r>
      <w:r>
        <w:t>A provision established for an individual loan where repayment of all or a portion of the outstanding balance is considered doubtful.</w:t>
      </w:r>
    </w:p>
    <w:p>
      <w:pPr>
        <w:pStyle w:val="Heading1"/>
      </w:pPr>
      <w:r>
        <w:t>3. Covenant Compliance Standards</w:t>
      </w:r>
    </w:p>
    <w:p>
      <w:r>
        <w:t>All commercial loan covenants must be tested quarterly using the borrower's most recent financial statements. Failure to meet any covenant constitutes a covenant breach and must be documented as an exception in the loan file within 10 business days of identification.</w:t>
      </w:r>
    </w:p>
    <w:p>
      <w:pPr>
        <w:pStyle w:val="Heading2"/>
      </w:pPr>
      <w:r>
        <w:t>3.1 DSCR Requirements</w:t>
      </w:r>
    </w:p>
    <w:p>
      <w:r>
        <w:t>The minimum DSCR is specified in each individual loan agreement. Common minimums are 1.15x, 1.20x, and 1.25x depending on loan type and risk profile. A DSCR breach must trigger an immediate notification to the borrower, an updated financial analysis, and submission of a remediation plan within 30 calendar days. A DSCR below 1.00x must be escalated to the Chief Credit Officer (CCO) within 5 business days.</w:t>
      </w:r>
    </w:p>
    <w:p>
      <w:pPr>
        <w:pStyle w:val="Heading2"/>
      </w:pPr>
      <w:r>
        <w:t>3.2 LTV Requirements</w:t>
      </w:r>
    </w:p>
    <w:p>
      <w:r>
        <w:t>The maximum LTV is specified in each loan agreement. An LTV breach occurs when the outstanding loan balance divided by the current appraised value of pledged collateral exceeds the contractual maximum. Current appraisals must be no older than 18 months for commercial real estate. An LTV breach requires either additional collateral pledged within 60 days, accelerated principal paydown, or formal forbearance agreement approved by the Senior Loan Committee.</w:t>
      </w:r>
    </w:p>
    <w:p>
      <w:pPr>
        <w:pStyle w:val="Heading2"/>
      </w:pPr>
      <w:r>
        <w:t>3.3 Current Ratio Requirements</w:t>
      </w:r>
    </w:p>
    <w:p>
      <w:r>
        <w:t>The minimum current ratio is specified per loan agreement. A current ratio breach requires a written explanation from the borrower within 15 days and a follow-up review within 90 days. If the ratio remains below the minimum for two consecutive quarters, the loan must be escalated to Watch List status.</w:t>
      </w:r>
    </w:p>
    <w:p>
      <w:pPr>
        <w:pStyle w:val="Heading1"/>
      </w:pPr>
      <w:r>
        <w:t>4. Risk Rating Scale</w:t>
      </w:r>
    </w:p>
    <w:p>
      <w:r>
        <w:t>Tri-County uses a 6-point internal risk rating scale. Loan Officers must assign an Internal Risk Rating at origination and update it at each quarterly review. The rating must reflect current financial condition, covenant compliance, collateral coverage, and payment history.</w:t>
      </w:r>
    </w:p>
    <w:p>
      <w:r>
        <w:rPr>
          <w:b/>
        </w:rPr>
        <w:t xml:space="preserve">1 — Minimal Risk: </w:t>
      </w:r>
      <w:r>
        <w:t>Borrower demonstrates exceptional financial strength. All covenants met by wide margins. No exceptions.</w:t>
      </w:r>
    </w:p>
    <w:p>
      <w:r>
        <w:rPr>
          <w:b/>
        </w:rPr>
        <w:t xml:space="preserve">2 — Acceptable Risk: </w:t>
      </w:r>
      <w:r>
        <w:t>Borrower meets all covenants. Strong DSCR and LTV ratios. No exceptions. Standard monitoring.</w:t>
      </w:r>
    </w:p>
    <w:p>
      <w:r>
        <w:rPr>
          <w:b/>
        </w:rPr>
        <w:t xml:space="preserve">3 — Moderate Risk: </w:t>
      </w:r>
      <w:r>
        <w:t>Borrower generally meets covenants. One or more metrics approaching but not yet breaching thresholds. Enhanced monitoring.</w:t>
      </w:r>
    </w:p>
    <w:p>
      <w:r>
        <w:rPr>
          <w:b/>
        </w:rPr>
        <w:t xml:space="preserve">4 — Watch: </w:t>
      </w:r>
      <w:r>
        <w:t>Borrower has one or more active covenant exceptions or adverse financial trends. Documented remediation plan required. Quarterly senior review.</w:t>
      </w:r>
    </w:p>
    <w:p>
      <w:r>
        <w:rPr>
          <w:b/>
        </w:rPr>
        <w:t xml:space="preserve">5 — Special Mention: </w:t>
      </w:r>
      <w:r>
        <w:t>Borrower exhibits multiple covenant exceptions, payment irregularities, or material collateral deterioration. Formal workout plan required. Monthly senior review.</w:t>
      </w:r>
    </w:p>
    <w:p>
      <w:r>
        <w:rPr>
          <w:b/>
        </w:rPr>
        <w:t xml:space="preserve">6 — Substandard / Loss: </w:t>
      </w:r>
      <w:r>
        <w:t>Loan exhibits well-defined weaknesses. Collection in full is doubtful without collateral realization or outside assistance. Loss reserves required. Immediate escalation.</w:t>
      </w:r>
    </w:p>
    <w:p>
      <w:pPr>
        <w:pStyle w:val="Heading1"/>
      </w:pPr>
      <w:r>
        <w:t>5. Watch List Requirements</w:t>
      </w:r>
    </w:p>
    <w:p>
      <w:r>
        <w:t>Any loan with an Internal Risk Rating of 4 or higher must be placed on the Watch List. Watch List loans require the following:</w:t>
      </w:r>
    </w:p>
    <w:p>
      <w:pPr>
        <w:pStyle w:val="ListBullet"/>
      </w:pPr>
      <w:r>
        <w:t>• Documented remediation plan signed by the borrower and relationship officer.</w:t>
      </w:r>
    </w:p>
    <w:p>
      <w:pPr>
        <w:pStyle w:val="ListBullet"/>
      </w:pPr>
      <w:r>
        <w:t>• Quarterly senior loan committee review.</w:t>
      </w:r>
    </w:p>
    <w:p>
      <w:pPr>
        <w:pStyle w:val="ListBullet"/>
      </w:pPr>
      <w:r>
        <w:t>• Monthly payment monitoring and financial update.</w:t>
      </w:r>
    </w:p>
    <w:p>
      <w:pPr>
        <w:pStyle w:val="ListBullet"/>
      </w:pPr>
      <w:r>
        <w:t>• Written status update submitted to the Chief Credit Officer within 10 days of each quarterly review period.</w:t>
      </w:r>
    </w:p>
    <w:p>
      <w:r>
        <w:t>For Rating 6 loans: A specific loss reserve must be established and the loan must be reported in the Bank's non-performing loan schedule. All collection and recovery actions must be coordinated with the Bank's legal counsel.</w:t>
      </w:r>
    </w:p>
    <w:p>
      <w:pPr>
        <w:pStyle w:val="Heading1"/>
      </w:pPr>
      <w:r>
        <w:t>6. Concentration Limits</w:t>
      </w:r>
    </w:p>
    <w:p>
      <w:r>
        <w:t>The Board of Directors has established the following concentration limits to prevent excessive exposure to any single segment:</w:t>
      </w:r>
    </w:p>
    <w:p>
      <w:r>
        <w:rPr>
          <w:b/>
        </w:rPr>
        <w:t xml:space="preserve">Single Borrower: </w:t>
      </w:r>
      <w:r>
        <w:t>No single borrower relationship may exceed 15% of total portfolio outstanding balance.</w:t>
      </w:r>
    </w:p>
    <w:p>
      <w:r>
        <w:rPr>
          <w:b/>
        </w:rPr>
        <w:t xml:space="preserve">Loan Type: </w:t>
      </w:r>
      <w:r>
        <w:t>No single loan type may exceed 40% of total portfolio outstanding balance. Loan types include: Commercial Mortgage, Term Loan, Line of Credit, Construction Loan, Equipment Loan, Floor Plan Loan, and Agricultural Term Loan.</w:t>
      </w:r>
    </w:p>
    <w:p>
      <w:r>
        <w:rPr>
          <w:b/>
        </w:rPr>
        <w:t xml:space="preserve">Loan Officer: </w:t>
      </w:r>
      <w:r>
        <w:t>No individual Loan Officer may carry more than 40% of total portfolio outstanding balance.</w:t>
      </w:r>
    </w:p>
    <w:p>
      <w:pPr>
        <w:pStyle w:val="Heading1"/>
      </w:pPr>
      <w:r>
        <w:t>7. Exception Management</w:t>
      </w:r>
    </w:p>
    <w:p>
      <w:r>
        <w:t>All exceptions must be logged in the Bank's loan management system within 10 business days of identification. Each exception record must include: loan ID, borrower name, exception type, date identified, responsible officer, remediation plan, and expected resolution date. Exceptions unresolved after 90 days from identification must be escalated to the Chief Credit Officer. A formal waiver may be issued by the Senior Loan Committee for covenant exceptions where the borrower demonstrates adequate compensating factors. The waiver must specify an expiration date not to exceed 12 months.</w:t>
      </w:r>
    </w:p>
    <w:p>
      <w:pPr>
        <w:pStyle w:val="Heading1"/>
      </w:pPr>
      <w:r>
        <w:t>8. Quarterly Review Report Requirements</w:t>
      </w:r>
    </w:p>
    <w:p>
      <w:r>
        <w:t>At the end of each quarter, the Credit Risk Division must produce a Loan Portfolio Review Report. The report must include:</w:t>
      </w:r>
    </w:p>
    <w:p>
      <w:pPr>
        <w:pStyle w:val="ListBullet"/>
      </w:pPr>
      <w:r>
        <w:t>• Executive Summary with a portfolio health assessment and total outstanding balance.</w:t>
      </w:r>
    </w:p>
    <w:p>
      <w:pPr>
        <w:pStyle w:val="ListBullet"/>
      </w:pPr>
      <w:r>
        <w:t>• Covenant Compliance Summary identifying all loans in breach of any financial covenant, with the specific covenant and metric.</w:t>
      </w:r>
    </w:p>
    <w:p>
      <w:pPr>
        <w:pStyle w:val="ListBullet"/>
      </w:pPr>
      <w:r>
        <w:t>• Watch List Analysis covering all loans rated 4 or above, with individual remediation status and officer assignment.</w:t>
      </w:r>
    </w:p>
    <w:p>
      <w:pPr>
        <w:pStyle w:val="ListBullet"/>
      </w:pPr>
      <w:r>
        <w:t>• Concentration Risk Analysis covering single-borrower, loan-type, and loan-officer concentrations against policy limits.</w:t>
      </w:r>
    </w:p>
    <w:p>
      <w:pPr>
        <w:pStyle w:val="ListBullet"/>
      </w:pPr>
      <w:r>
        <w:t>• Exception Tracking Log listing all active exceptions with borrower, type, identification date, officer, and resolution status.</w:t>
      </w:r>
    </w:p>
    <w:p>
      <w:pPr>
        <w:pStyle w:val="ListBullet"/>
      </w:pPr>
      <w:r>
        <w:t>• Non-Performing Loan Schedule for any loans 90+ days past due or classified as non-performing.</w:t>
      </w:r>
    </w:p>
    <w:p>
      <w:pPr>
        <w:pStyle w:val="ListBullet"/>
      </w:pPr>
      <w:r>
        <w:t>• Final Portfolio Risk Assessment summarizing the overall portfolio condition and any recommended actions.</w:t>
      </w:r>
    </w:p>
    <w:p>
      <w:pPr>
        <w:pStyle w:val="Heading1"/>
      </w:pPr>
      <w:r>
        <w:t>9. Approval and Distribution</w:t>
      </w:r>
    </w:p>
    <w:p>
      <w:r>
        <w:t>The completed Quarterly Loan Portfolio Review Report must be reviewed and approved by the Chief Credit Officer prior to submission to the Board of Directors. The report must be distributed no later than 30 calendar days following the last day of the review quarter. Distribution: Chief Credit Officer, Senior Loan Committee, Board Audit Committee, and the Bank's Primary Regulator.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