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Portfolio Review Report</w:t>
      </w:r>
    </w:p>
    <w:p>
      <w:r>
        <w:t>Tri-County Community Bank | Q4 2025</w:t>
      </w:r>
    </w:p>
    <w:p>
      <w:pPr>
        <w:pStyle w:val="Heading1"/>
      </w:pPr>
      <w:r>
        <w:t>1. Executive Summary</w:t>
      </w:r>
    </w:p>
    <w:p>
      <w:r>
        <w:t>This report details the health assessment for the commercial loan portfolio as of Q4 2025. The portfolio presently consists of 29 active commercial loans with a total aggregate outstanding balance of $134,656,509.</w:t>
      </w:r>
    </w:p>
    <w:p>
      <w:r>
        <w:t>A thorough analysis indicates several areas of credit risk that require management attention. Multiple loans exhibit active covenant breaches. Furthermore, the portfolio includes specific non-performing assets that are currently on non-accrual status. Several exposures require Watch List classification due to deteriorated risk grades, payment delays, or concurrent covenant violations. Concentration risk is also elevated, as the portfolio exceeds the single-borrower limit for C2 Tech Campus, the loan-type limit for Commercial Mortgages, and the loan-officer limit for James Trotter. Finally, a significant number of open administrative exceptions remain unresolved.</w:t>
      </w:r>
    </w:p>
    <w:p>
      <w:r>
        <w:t>Given these findings, the overall portfolio risk is elevated, and immediate remedial action is advised.</w:t>
      </w:r>
    </w:p>
    <w:p>
      <w:pPr>
        <w:pStyle w:val="Heading1"/>
      </w:pPr>
      <w:r>
        <w:t>2. Portfolio Overview</w:t>
      </w:r>
    </w:p>
    <w:p>
      <w:r>
        <w:t>The loan population consists of 29 commercial loans. The total outstanding portfolio balance stands at $134,656,509.</w:t>
      </w:r>
    </w:p>
    <w:p>
      <w:pPr>
        <w:pStyle w:val="Heading1"/>
      </w:pPr>
      <w:r>
        <w:t>3. Covenant Compliance Findings</w:t>
      </w:r>
    </w:p>
    <w:p>
      <w:r>
        <w:t>The compliance review identified several covenant violations across the portfolio. A detailed breakdown by covenant type is provided below.</w:t>
      </w:r>
    </w:p>
    <w:p>
      <w:pPr>
        <w:pStyle w:val="Heading2"/>
      </w:pPr>
      <w:r>
        <w:t>DSCR Violations (Minimum: 1.25x)</w:t>
      </w:r>
    </w:p>
    <w:p>
      <w:r>
        <w:t>The DSCR analysis relies on the 1.25x policy minimum and identifies the following breaches:</w:t>
      </w:r>
    </w:p>
    <w:p>
      <w:pPr>
        <w:pStyle w:val="ListBullet"/>
      </w:pPr>
      <w:r>
        <w:t>LN-006 — Willow Creek Office Park LLC — 1.14x</w:t>
      </w:r>
    </w:p>
    <w:p>
      <w:pPr>
        <w:pStyle w:val="ListBullet"/>
      </w:pPr>
      <w:r>
        <w:t>LN-009 — Component Precision Machining LLC — 1.02x</w:t>
      </w:r>
    </w:p>
    <w:p>
      <w:pPr>
        <w:pStyle w:val="ListBullet"/>
      </w:pPr>
      <w:r>
        <w:t>LN-017 — Copperfield Development Partners LLC — 1.08x</w:t>
      </w:r>
    </w:p>
    <w:p>
      <w:pPr>
        <w:pStyle w:val="ListBullet"/>
      </w:pPr>
      <w:r>
        <w:t>LN-025 — Sentinel Hospitality Group LLC — 1.19x</w:t>
      </w:r>
    </w:p>
    <w:p>
      <w:r>
        <w:t>Note: LN-001 has a DSCR of 1.28x and is fully compliant.</w:t>
      </w:r>
    </w:p>
    <w:p>
      <w:pPr>
        <w:pStyle w:val="Heading2"/>
      </w:pPr>
      <w:r>
        <w:t>LTV Violations (Maximum: 75%)</w:t>
      </w:r>
    </w:p>
    <w:p>
      <w:r>
        <w:t>The LTV analysis relies on the 75% policy maximum and identifies the following breach:</w:t>
      </w:r>
    </w:p>
    <w:p>
      <w:pPr>
        <w:pStyle w:val="ListBullet"/>
      </w:pPr>
      <w:r>
        <w:t>LN-017 — 81.4% — breach</w:t>
      </w:r>
    </w:p>
    <w:p>
      <w:pPr>
        <w:pStyle w:val="Heading2"/>
      </w:pPr>
      <w:r>
        <w:t>Current Ratio Violations (Minimum: 1.10x)</w:t>
      </w:r>
    </w:p>
    <w:p>
      <w:r>
        <w:t>The Current Ratio analysis relies on the 1.10x policy minimum and identifies the following breaches:</w:t>
      </w:r>
    </w:p>
    <w:p>
      <w:pPr>
        <w:pStyle w:val="ListBullet"/>
      </w:pPr>
      <w:r>
        <w:t>LN-011 — 1.04x</w:t>
      </w:r>
    </w:p>
    <w:p>
      <w:pPr>
        <w:pStyle w:val="ListBullet"/>
      </w:pPr>
      <w:r>
        <w:t>LN-025 — 0.96x</w:t>
      </w:r>
    </w:p>
    <w:p>
      <w:r>
        <w:t>Note: LN-017 and LN-025 present with two concurrent covenant violations.</w:t>
      </w:r>
    </w:p>
    <w:p>
      <w:pPr>
        <w:pStyle w:val="Heading1"/>
      </w:pPr>
      <w:r>
        <w:t>4. Watch List and Concentration Analysis</w:t>
      </w:r>
    </w:p>
    <w:p>
      <w:r>
        <w:t>The Watch List determination relies on the strict criteria defined in Section 4. The following loans require Watch List treatment:</w:t>
      </w:r>
    </w:p>
    <w:p>
      <w:pPr>
        <w:pStyle w:val="ListBullet"/>
      </w:pPr>
      <w:r>
        <w:t>LN-006 — Willow Creek Office Park LLC. Trigger: Risk Grade 5</w:t>
      </w:r>
    </w:p>
    <w:p>
      <w:pPr>
        <w:pStyle w:val="ListBullet"/>
      </w:pPr>
      <w:r>
        <w:t>LN-009 — Component Precision Machining LLC. Trigger: Risk Grade 6 + 95 DPD</w:t>
      </w:r>
    </w:p>
    <w:p>
      <w:pPr>
        <w:pStyle w:val="ListBullet"/>
      </w:pPr>
      <w:r>
        <w:t>LN-017 — Copperfield Development Partners LLC. Trigger: Risk Grade 6 + 97 DPD + 2 covenant breaches</w:t>
      </w:r>
    </w:p>
    <w:p>
      <w:pPr>
        <w:pStyle w:val="ListBullet"/>
      </w:pPr>
      <w:r>
        <w:t>LN-025 — Sentinel Hospitality Group LLC. Trigger: 2 concurrent covenant breaches</w:t>
      </w:r>
    </w:p>
    <w:p>
      <w:pPr>
        <w:pStyle w:val="Heading2"/>
      </w:pPr>
      <w:r>
        <w:t>Concentration Risk</w:t>
      </w:r>
    </w:p>
    <w:p>
      <w:r>
        <w:t>Single-Borrower Limit: 15%</w:t>
      </w:r>
    </w:p>
    <w:p>
      <w:r>
        <w:t>LN-028 — C2 Tech Campus — $21,117,450 — 15.68%. Conclusion: BREACH.</w:t>
      </w:r>
    </w:p>
    <w:p>
      <w:r>
        <w:t>Loan-Type Limit: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Loan Type</w:t>
            </w:r>
          </w:p>
        </w:tc>
        <w:tc>
          <w:tcPr>
            <w:tcW w:type="dxa" w:w="2160"/>
          </w:tcPr>
          <w:p>
            <w:r>
              <w:t>Aggregate Balance</w:t>
            </w:r>
          </w:p>
        </w:tc>
        <w:tc>
          <w:tcPr>
            <w:tcW w:type="dxa" w:w="2160"/>
          </w:tcPr>
          <w:p>
            <w:r>
              <w:t>% of Portfolio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Agricultural Term Loan</w:t>
            </w:r>
          </w:p>
        </w:tc>
        <w:tc>
          <w:tcPr>
            <w:tcW w:type="dxa" w:w="2160"/>
          </w:tcPr>
          <w:p>
            <w:r>
              <w:t>$2,193,810</w:t>
            </w:r>
          </w:p>
        </w:tc>
        <w:tc>
          <w:tcPr>
            <w:tcW w:type="dxa" w:w="2160"/>
          </w:tcPr>
          <w:p>
            <w:r>
              <w:t>1.63%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Commercial Mortgage</w:t>
            </w:r>
          </w:p>
        </w:tc>
        <w:tc>
          <w:tcPr>
            <w:tcW w:type="dxa" w:w="2160"/>
          </w:tcPr>
          <w:p>
            <w:r>
              <w:t>$88,481,044</w:t>
            </w:r>
          </w:p>
        </w:tc>
        <w:tc>
          <w:tcPr>
            <w:tcW w:type="dxa" w:w="2160"/>
          </w:tcPr>
          <w:p>
            <w:r>
              <w:t>65.71%</w:t>
            </w:r>
          </w:p>
        </w:tc>
        <w:tc>
          <w:tcPr>
            <w:tcW w:type="dxa" w:w="2160"/>
          </w:tcPr>
          <w:p>
            <w:r>
              <w:t>BREACH</w:t>
            </w:r>
          </w:p>
        </w:tc>
      </w:tr>
      <w:tr>
        <w:tc>
          <w:tcPr>
            <w:tcW w:type="dxa" w:w="2160"/>
          </w:tcPr>
          <w:p>
            <w:r>
              <w:t>Construction Loan</w:t>
            </w:r>
          </w:p>
        </w:tc>
        <w:tc>
          <w:tcPr>
            <w:tcW w:type="dxa" w:w="2160"/>
          </w:tcPr>
          <w:p>
            <w:r>
              <w:t>$10,550,680</w:t>
            </w:r>
          </w:p>
        </w:tc>
        <w:tc>
          <w:tcPr>
            <w:tcW w:type="dxa" w:w="2160"/>
          </w:tcPr>
          <w:p>
            <w:r>
              <w:t>7.84%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Equipment Loan</w:t>
            </w:r>
          </w:p>
        </w:tc>
        <w:tc>
          <w:tcPr>
            <w:tcW w:type="dxa" w:w="2160"/>
          </w:tcPr>
          <w:p>
            <w:r>
              <w:t>$3,051,850</w:t>
            </w:r>
          </w:p>
        </w:tc>
        <w:tc>
          <w:tcPr>
            <w:tcW w:type="dxa" w:w="2160"/>
          </w:tcPr>
          <w:p>
            <w:r>
              <w:t>2.27%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Floor Plan Loan</w:t>
            </w:r>
          </w:p>
        </w:tc>
        <w:tc>
          <w:tcPr>
            <w:tcW w:type="dxa" w:w="2160"/>
          </w:tcPr>
          <w:p>
            <w:r>
              <w:t>$7,194,920</w:t>
            </w:r>
          </w:p>
        </w:tc>
        <w:tc>
          <w:tcPr>
            <w:tcW w:type="dxa" w:w="2160"/>
          </w:tcPr>
          <w:p>
            <w:r>
              <w:t>5.34%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Line of Credit</w:t>
            </w:r>
          </w:p>
        </w:tc>
        <w:tc>
          <w:tcPr>
            <w:tcW w:type="dxa" w:w="2160"/>
          </w:tcPr>
          <w:p>
            <w:r>
              <w:t>$2,902,460</w:t>
            </w:r>
          </w:p>
        </w:tc>
        <w:tc>
          <w:tcPr>
            <w:tcW w:type="dxa" w:w="2160"/>
          </w:tcPr>
          <w:p>
            <w:r>
              <w:t>2.16%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  <w:tr>
        <w:tc>
          <w:tcPr>
            <w:tcW w:type="dxa" w:w="2160"/>
          </w:tcPr>
          <w:p>
            <w:r>
              <w:t>Term Loan</w:t>
            </w:r>
          </w:p>
        </w:tc>
        <w:tc>
          <w:tcPr>
            <w:tcW w:type="dxa" w:w="2160"/>
          </w:tcPr>
          <w:p>
            <w:r>
              <w:t>$20,281,745</w:t>
            </w:r>
          </w:p>
        </w:tc>
        <w:tc>
          <w:tcPr>
            <w:tcW w:type="dxa" w:w="2160"/>
          </w:tcPr>
          <w:p>
            <w:r>
              <w:t>15.06%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</w:tr>
    </w:tbl>
    <w:p>
      <w:r>
        <w:t>Commercial Mortgages exceed the 40% concentration limit, carrying an aggregate balance of $88,481,044 and a portfolio share of approximately 65.72%.</w:t>
      </w:r>
    </w:p>
    <w:p>
      <w:r>
        <w:t>Loan Officer Limit: 40%</w:t>
      </w:r>
    </w:p>
    <w:p>
      <w:r>
        <w:t>James Trotter — $82,101,025 — approximately 60.97%. Conclusion: BREACH.</w:t>
      </w:r>
    </w:p>
    <w:p>
      <w:r>
        <w:t>Sarah Jenkins — $30,250,550 — approximately 22.46%. Conclusion: Compliant.</w:t>
      </w:r>
    </w:p>
    <w:p>
      <w:r>
        <w:t>Michael Chang — $22,304,934 — approximately 16.56%. Conclusion: Compliant.</w:t>
      </w:r>
    </w:p>
    <w:p>
      <w:pPr>
        <w:pStyle w:val="Heading1"/>
      </w:pPr>
      <w:r>
        <w:t>5. Exception Tracking</w:t>
      </w:r>
    </w:p>
    <w:p>
      <w:r>
        <w:t>The remaining open exceptions are recorded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Exception ID</w:t>
            </w:r>
          </w:p>
        </w:tc>
        <w:tc>
          <w:tcPr>
            <w:tcW w:type="dxa" w:w="1234"/>
          </w:tcPr>
          <w:p>
            <w:r>
              <w:t>Loan ID</w:t>
            </w:r>
          </w:p>
        </w:tc>
        <w:tc>
          <w:tcPr>
            <w:tcW w:type="dxa" w:w="1234"/>
          </w:tcPr>
          <w:p>
            <w:r>
              <w:t>Borrower</w:t>
            </w:r>
          </w:p>
        </w:tc>
        <w:tc>
          <w:tcPr>
            <w:tcW w:type="dxa" w:w="1234"/>
          </w:tcPr>
          <w:p>
            <w:r>
              <w:t>Exception Type</w:t>
            </w:r>
          </w:p>
        </w:tc>
        <w:tc>
          <w:tcPr>
            <w:tcW w:type="dxa" w:w="1234"/>
          </w:tcPr>
          <w:p>
            <w:r>
              <w:t>Identified</w:t>
            </w:r>
          </w:p>
        </w:tc>
        <w:tc>
          <w:tcPr>
            <w:tcW w:type="dxa" w:w="1234"/>
          </w:tcPr>
          <w:p>
            <w:r>
              <w:t>Officer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EXC-001</w:t>
            </w:r>
          </w:p>
        </w:tc>
        <w:tc>
          <w:tcPr>
            <w:tcW w:type="dxa" w:w="1234"/>
          </w:tcPr>
          <w:p>
            <w:r>
              <w:t>LN-001</w:t>
            </w:r>
          </w:p>
        </w:tc>
        <w:tc>
          <w:tcPr>
            <w:tcW w:type="dxa" w:w="1234"/>
          </w:tcPr>
          <w:p>
            <w:r>
              <w:t>ABC Industrial LLC</w:t>
            </w:r>
          </w:p>
        </w:tc>
        <w:tc>
          <w:tcPr>
            <w:tcW w:type="dxa" w:w="1234"/>
          </w:tcPr>
          <w:p>
            <w:r>
              <w:t>DSCR Covenant Breach</w:t>
            </w:r>
          </w:p>
        </w:tc>
        <w:tc>
          <w:tcPr>
            <w:tcW w:type="dxa" w:w="1234"/>
          </w:tcPr>
          <w:p>
            <w:r>
              <w:t>2025-11-18</w:t>
            </w:r>
          </w:p>
        </w:tc>
        <w:tc>
          <w:tcPr>
            <w:tcW w:type="dxa" w:w="1234"/>
          </w:tcPr>
          <w:p>
            <w:r>
              <w:t>Diana Flores</w:t>
            </w:r>
          </w:p>
        </w:tc>
        <w:tc>
          <w:tcPr>
            <w:tcW w:type="dxa" w:w="1234"/>
          </w:tcPr>
          <w:p>
            <w:r>
              <w:t>Open — Monitoring</w:t>
            </w:r>
          </w:p>
        </w:tc>
      </w:tr>
      <w:tr>
        <w:tc>
          <w:tcPr>
            <w:tcW w:type="dxa" w:w="1234"/>
          </w:tcPr>
          <w:p>
            <w:r>
              <w:t>EXC-002</w:t>
            </w:r>
          </w:p>
        </w:tc>
        <w:tc>
          <w:tcPr>
            <w:tcW w:type="dxa" w:w="1234"/>
          </w:tcPr>
          <w:p>
            <w:r>
              <w:t>LN-002</w:t>
            </w:r>
          </w:p>
        </w:tc>
        <w:tc>
          <w:tcPr>
            <w:tcW w:type="dxa" w:w="1234"/>
          </w:tcPr>
          <w:p>
            <w:r>
              <w:t>XYZ Retail Partners</w:t>
            </w:r>
          </w:p>
        </w:tc>
        <w:tc>
          <w:tcPr>
            <w:tcW w:type="dxa" w:w="1234"/>
          </w:tcPr>
          <w:p>
            <w:r>
              <w:t>LTV Covenant Breach</w:t>
            </w:r>
          </w:p>
        </w:tc>
        <w:tc>
          <w:tcPr>
            <w:tcW w:type="dxa" w:w="1234"/>
          </w:tcPr>
          <w:p>
            <w:r>
              <w:t>2025-10-05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Escalated to Watch List</w:t>
            </w:r>
          </w:p>
        </w:tc>
      </w:tr>
      <w:tr>
        <w:tc>
          <w:tcPr>
            <w:tcW w:type="dxa" w:w="1234"/>
          </w:tcPr>
          <w:p>
            <w:r>
              <w:t>EXC-003</w:t>
            </w:r>
          </w:p>
        </w:tc>
        <w:tc>
          <w:tcPr>
            <w:tcW w:type="dxa" w:w="1234"/>
          </w:tcPr>
          <w:p>
            <w:r>
              <w:t>LN-002</w:t>
            </w:r>
          </w:p>
        </w:tc>
        <w:tc>
          <w:tcPr>
            <w:tcW w:type="dxa" w:w="1234"/>
          </w:tcPr>
          <w:p>
            <w:r>
              <w:t>XYZ Retail Partners</w:t>
            </w:r>
          </w:p>
        </w:tc>
        <w:tc>
          <w:tcPr>
            <w:tcW w:type="dxa" w:w="1234"/>
          </w:tcPr>
          <w:p>
            <w:r>
              <w:t>Current Ratio Breach</w:t>
            </w:r>
          </w:p>
        </w:tc>
        <w:tc>
          <w:tcPr>
            <w:tcW w:type="dxa" w:w="1234"/>
          </w:tcPr>
          <w:p>
            <w:r>
              <w:t>2025-10-05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Escalated to Watch List</w:t>
            </w:r>
          </w:p>
        </w:tc>
      </w:tr>
      <w:tr>
        <w:tc>
          <w:tcPr>
            <w:tcW w:type="dxa" w:w="1234"/>
          </w:tcPr>
          <w:p>
            <w:r>
              <w:t>EXC-004</w:t>
            </w:r>
          </w:p>
        </w:tc>
        <w:tc>
          <w:tcPr>
            <w:tcW w:type="dxa" w:w="1234"/>
          </w:tcPr>
          <w:p>
            <w:r>
              <w:t>LN-002</w:t>
            </w:r>
          </w:p>
        </w:tc>
        <w:tc>
          <w:tcPr>
            <w:tcW w:type="dxa" w:w="1234"/>
          </w:tcPr>
          <w:p>
            <w:r>
              <w:t>XYZ Retail Partners</w:t>
            </w:r>
          </w:p>
        </w:tc>
        <w:tc>
          <w:tcPr>
            <w:tcW w:type="dxa" w:w="1234"/>
          </w:tcPr>
          <w:p>
            <w:r>
              <w:t>Payment Delinquency</w:t>
            </w:r>
          </w:p>
        </w:tc>
        <w:tc>
          <w:tcPr>
            <w:tcW w:type="dxa" w:w="1234"/>
          </w:tcPr>
          <w:p>
            <w:r>
              <w:t>2025-12-03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Formal demand issued</w:t>
            </w:r>
          </w:p>
        </w:tc>
      </w:tr>
      <w:tr>
        <w:tc>
          <w:tcPr>
            <w:tcW w:type="dxa" w:w="1234"/>
          </w:tcPr>
          <w:p>
            <w:r>
              <w:t>EXC-005</w:t>
            </w:r>
          </w:p>
        </w:tc>
        <w:tc>
          <w:tcPr>
            <w:tcW w:type="dxa" w:w="1234"/>
          </w:tcPr>
          <w:p>
            <w:r>
              <w:t>LN-004</w:t>
            </w:r>
          </w:p>
        </w:tc>
        <w:tc>
          <w:tcPr>
            <w:tcW w:type="dxa" w:w="1234"/>
          </w:tcPr>
          <w:p>
            <w:r>
              <w:t>Delta Auto Group</w:t>
            </w:r>
          </w:p>
        </w:tc>
        <w:tc>
          <w:tcPr>
            <w:tcW w:type="dxa" w:w="1234"/>
          </w:tcPr>
          <w:p>
            <w:r>
              <w:t>DSCR Covenant Breach</w:t>
            </w:r>
          </w:p>
        </w:tc>
        <w:tc>
          <w:tcPr>
            <w:tcW w:type="dxa" w:w="1234"/>
          </w:tcPr>
          <w:p>
            <w:r>
              <w:t>2025-12-09</w:t>
            </w:r>
          </w:p>
        </w:tc>
        <w:tc>
          <w:tcPr>
            <w:tcW w:type="dxa" w:w="1234"/>
          </w:tcPr>
          <w:p>
            <w:r>
              <w:t>James Trotter</w:t>
            </w:r>
          </w:p>
        </w:tc>
        <w:tc>
          <w:tcPr>
            <w:tcW w:type="dxa" w:w="1234"/>
          </w:tcPr>
          <w:p>
            <w:r>
              <w:t>Open — Monitoring</w:t>
            </w:r>
          </w:p>
        </w:tc>
      </w:tr>
      <w:tr>
        <w:tc>
          <w:tcPr>
            <w:tcW w:type="dxa" w:w="1234"/>
          </w:tcPr>
          <w:p>
            <w:r>
              <w:t>EXC-006</w:t>
            </w:r>
          </w:p>
        </w:tc>
        <w:tc>
          <w:tcPr>
            <w:tcW w:type="dxa" w:w="1234"/>
          </w:tcPr>
          <w:p>
            <w:r>
              <w:t>LN-004</w:t>
            </w:r>
          </w:p>
        </w:tc>
        <w:tc>
          <w:tcPr>
            <w:tcW w:type="dxa" w:w="1234"/>
          </w:tcPr>
          <w:p>
            <w:r>
              <w:t>Delta Auto Group</w:t>
            </w:r>
          </w:p>
        </w:tc>
        <w:tc>
          <w:tcPr>
            <w:tcW w:type="dxa" w:w="1234"/>
          </w:tcPr>
          <w:p>
            <w:r>
              <w:t>Payment Delinquency</w:t>
            </w:r>
          </w:p>
        </w:tc>
        <w:tc>
          <w:tcPr>
            <w:tcW w:type="dxa" w:w="1234"/>
          </w:tcPr>
          <w:p>
            <w:r>
              <w:t>2025-12-09</w:t>
            </w:r>
          </w:p>
        </w:tc>
        <w:tc>
          <w:tcPr>
            <w:tcW w:type="dxa" w:w="1234"/>
          </w:tcPr>
          <w:p>
            <w:r>
              <w:t>James Trotter</w:t>
            </w:r>
          </w:p>
        </w:tc>
        <w:tc>
          <w:tcPr>
            <w:tcW w:type="dxa" w:w="1234"/>
          </w:tcPr>
          <w:p>
            <w:r>
              <w:t>Open — Awaiting payment confirmation</w:t>
            </w:r>
          </w:p>
        </w:tc>
      </w:tr>
      <w:tr>
        <w:tc>
          <w:tcPr>
            <w:tcW w:type="dxa" w:w="1234"/>
          </w:tcPr>
          <w:p>
            <w:r>
              <w:t>EXC-007</w:t>
            </w:r>
          </w:p>
        </w:tc>
        <w:tc>
          <w:tcPr>
            <w:tcW w:type="dxa" w:w="1234"/>
          </w:tcPr>
          <w:p>
            <w:r>
              <w:t>LN-006</w:t>
            </w:r>
          </w:p>
        </w:tc>
        <w:tc>
          <w:tcPr>
            <w:tcW w:type="dxa" w:w="1234"/>
          </w:tcPr>
          <w:p>
            <w:r>
              <w:t>Epsilon Restaurant Group</w:t>
            </w:r>
          </w:p>
        </w:tc>
        <w:tc>
          <w:tcPr>
            <w:tcW w:type="dxa" w:w="1234"/>
          </w:tcPr>
          <w:p>
            <w:r>
              <w:t>Current Ratio Breach</w:t>
            </w:r>
          </w:p>
        </w:tc>
        <w:tc>
          <w:tcPr>
            <w:tcW w:type="dxa" w:w="1234"/>
          </w:tcPr>
          <w:p>
            <w:r>
              <w:t>2025-12-01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Follow-up Scheduled</w:t>
            </w:r>
          </w:p>
        </w:tc>
      </w:tr>
      <w:tr>
        <w:tc>
          <w:tcPr>
            <w:tcW w:type="dxa" w:w="1234"/>
          </w:tcPr>
          <w:p>
            <w:r>
              <w:t>EXC-008</w:t>
            </w:r>
          </w:p>
        </w:tc>
        <w:tc>
          <w:tcPr>
            <w:tcW w:type="dxa" w:w="1234"/>
          </w:tcPr>
          <w:p>
            <w:r>
              <w:t>LN-008</w:t>
            </w:r>
          </w:p>
        </w:tc>
        <w:tc>
          <w:tcPr>
            <w:tcW w:type="dxa" w:w="1234"/>
          </w:tcPr>
          <w:p>
            <w:r>
              <w:t>Eta Print &amp; Packaging Inc.</w:t>
            </w:r>
          </w:p>
        </w:tc>
        <w:tc>
          <w:tcPr>
            <w:tcW w:type="dxa" w:w="1234"/>
          </w:tcPr>
          <w:p>
            <w:r>
              <w:t>DSCR Covenant Breach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Legal Hold</w:t>
            </w:r>
          </w:p>
        </w:tc>
      </w:tr>
      <w:tr>
        <w:tc>
          <w:tcPr>
            <w:tcW w:type="dxa" w:w="1234"/>
          </w:tcPr>
          <w:p>
            <w:r>
              <w:t>EXC-009</w:t>
            </w:r>
          </w:p>
        </w:tc>
        <w:tc>
          <w:tcPr>
            <w:tcW w:type="dxa" w:w="1234"/>
          </w:tcPr>
          <w:p>
            <w:r>
              <w:t>LN-008</w:t>
            </w:r>
          </w:p>
        </w:tc>
        <w:tc>
          <w:tcPr>
            <w:tcW w:type="dxa" w:w="1234"/>
          </w:tcPr>
          <w:p>
            <w:r>
              <w:t>Eta Print &amp; Packaging Inc.</w:t>
            </w:r>
          </w:p>
        </w:tc>
        <w:tc>
          <w:tcPr>
            <w:tcW w:type="dxa" w:w="1234"/>
          </w:tcPr>
          <w:p>
            <w:r>
              <w:t>LTV Covenant Breach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Legal Hold</w:t>
            </w:r>
          </w:p>
        </w:tc>
      </w:tr>
      <w:tr>
        <w:tc>
          <w:tcPr>
            <w:tcW w:type="dxa" w:w="1234"/>
          </w:tcPr>
          <w:p>
            <w:r>
              <w:t>EXC-010</w:t>
            </w:r>
          </w:p>
        </w:tc>
        <w:tc>
          <w:tcPr>
            <w:tcW w:type="dxa" w:w="1234"/>
          </w:tcPr>
          <w:p>
            <w:r>
              <w:t>LN-008</w:t>
            </w:r>
          </w:p>
        </w:tc>
        <w:tc>
          <w:tcPr>
            <w:tcW w:type="dxa" w:w="1234"/>
          </w:tcPr>
          <w:p>
            <w:r>
              <w:t>Eta Print &amp; Packaging Inc.</w:t>
            </w:r>
          </w:p>
        </w:tc>
        <w:tc>
          <w:tcPr>
            <w:tcW w:type="dxa" w:w="1234"/>
          </w:tcPr>
          <w:p>
            <w:r>
              <w:t>Non-Performing / 90+ DPD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Marcus Webb</w:t>
            </w:r>
          </w:p>
        </w:tc>
        <w:tc>
          <w:tcPr>
            <w:tcW w:type="dxa" w:w="1234"/>
          </w:tcPr>
          <w:p>
            <w:r>
              <w:t>Open — Loss Reserve Active</w:t>
            </w:r>
          </w:p>
        </w:tc>
      </w:tr>
      <w:tr>
        <w:tc>
          <w:tcPr>
            <w:tcW w:type="dxa" w:w="1234"/>
          </w:tcPr>
          <w:p>
            <w:r>
              <w:t>EXC-011</w:t>
            </w:r>
          </w:p>
        </w:tc>
        <w:tc>
          <w:tcPr>
            <w:tcW w:type="dxa" w:w="1234"/>
          </w:tcPr>
          <w:p>
            <w:r>
              <w:t>LN-010</w:t>
            </w:r>
          </w:p>
        </w:tc>
        <w:tc>
          <w:tcPr>
            <w:tcW w:type="dxa" w:w="1234"/>
          </w:tcPr>
          <w:p>
            <w:r>
              <w:t>Iota Storage Partners</w:t>
            </w:r>
          </w:p>
        </w:tc>
        <w:tc>
          <w:tcPr>
            <w:tcW w:type="dxa" w:w="1234"/>
          </w:tcPr>
          <w:p>
            <w:r>
              <w:t>LTV Covenant Breach</w:t>
            </w:r>
          </w:p>
        </w:tc>
        <w:tc>
          <w:tcPr>
            <w:tcW w:type="dxa" w:w="1234"/>
          </w:tcPr>
          <w:p>
            <w:r>
              <w:t>2025-11-30</w:t>
            </w:r>
          </w:p>
        </w:tc>
        <w:tc>
          <w:tcPr>
            <w:tcW w:type="dxa" w:w="1234"/>
          </w:tcPr>
          <w:p>
            <w:r>
              <w:t>James Trotter</w:t>
            </w:r>
          </w:p>
        </w:tc>
        <w:tc>
          <w:tcPr>
            <w:tcW w:type="dxa" w:w="1234"/>
          </w:tcPr>
          <w:p>
            <w:r>
              <w:t>Open — Appraisal Dispute</w:t>
            </w:r>
          </w:p>
        </w:tc>
      </w:tr>
    </w:tbl>
    <w:p>
      <w:pPr>
        <w:pStyle w:val="Heading1"/>
      </w:pPr>
      <w:r>
        <w:t>6. Non-Performing Loan Schedule</w:t>
      </w:r>
    </w:p>
    <w:p>
      <w:r>
        <w:t>The following loans satisfy the Section 5 definition of non-performing:</w:t>
      </w:r>
    </w:p>
    <w:p>
      <w:pPr>
        <w:pStyle w:val="ListBullet"/>
      </w:pPr>
      <w:r>
        <w:t>LN-009 — Component Precision Machining LLC — 95 days past due — Non-Accrual</w:t>
      </w:r>
    </w:p>
    <w:p>
      <w:pPr>
        <w:pStyle w:val="ListBullet"/>
      </w:pPr>
      <w:r>
        <w:t>LN-017 — Copperfield Development Partners LLC — 97 days past due — Non-Accrual</w:t>
      </w:r>
    </w:p>
    <w:p>
      <w:pPr>
        <w:pStyle w:val="Heading1"/>
      </w:pPr>
      <w:r>
        <w:t>7. Final Portfolio Risk Assessment</w:t>
      </w:r>
    </w:p>
    <w:p>
      <w:r>
        <w:t>The portfolio exhibits elevated risk due to covenant breaches, non-performing loans, Watch List exposures, and concentration-limit findings. Management should initiate remediation plans to mitigate potential credit losses.</w:t>
      </w:r>
    </w:p>
    <w:p>
      <w:pPr>
        <w:pStyle w:val="Heading1"/>
      </w:pPr>
      <w:r>
        <w:t>8. Policy/Source Reconciliation</w:t>
      </w:r>
    </w:p>
    <w:p>
      <w:r>
        <w:t>All findings reconcile directly with the Q4 2025 input files and the Loan Portfolio Review Policy. Values have been cross-checked to ensure accuracy and limit hallucination or unsubstantiated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