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 Q4 2025 ALLL Reserve Adequacy Memorandum</w:t>
      </w:r>
    </w:p>
    <w:p>
      <w:r>
        <w:t>Prepared by: Credit Risk Division, Tri-County Community Bank</w:t>
      </w:r>
    </w:p>
    <w:p>
      <w:r>
        <w:t>Review Date: January 12, 2026 — the date Exception EXC-001's covenant waiver was issued, the most recent dated entry on file in Exception_Tracking_Log_Q4_2025.xlsx at the time this testing was performed.</w:t>
      </w:r>
    </w:p>
    <w:p>
      <w:pPr>
        <w:pStyle w:val="Heading1"/>
      </w:pPr>
      <w:r>
        <w:t>1. Executive Summary</w:t>
      </w:r>
    </w:p>
    <w:p>
      <w:r>
        <w:t>Auditors are going to want to see this before quarter close, so here is where the reserve actually stands. The commercial book runs 29 loans, $134,656,509 outstanding in total, and under the ALLL/CECL Reserve Policy the required reserve against that book comes to $1,651,606 — $1,310,966 pooled across Risk Rating tiers 1 through 5, plus a $340,640 specific reserve carried against LN-008 (Palmetto Print &amp; Packaging Inc.), which is individually evaluated because it is collateral-dependent following its Chapter 11 filing.</w:t>
      </w:r>
    </w:p>
    <w:p>
      <w:r>
        <w:t>Booked ALLL sits at $1,250,000. That leaves a shortfall of $401,606, or about 32% of what's currently on the books — well outside the 10% band Policy Section 6 allows. An additional provision of $401,606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 Policy Section 4 pulls it out for individual evaluation, so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 LN-002 (Corrigan Retail Partners), LTV 87.9% against 75% and Current Ratio 0.94x against 1.00x — no waiver there either, so Pool 5 gets the add-on too.</w:t>
      </w:r>
    </w:p>
    <w:p>
      <w:r>
        <w:t>Pool 4 is different. Its only loan, LN-001 (Talbot Steel Fabricators LLC), is breaching DSCR at 1.07x versus the 1.20x minimum, but Exception EXC-001 shows an approved waiver issued January 12, 2026 and running through March 31, 2026 — active and not expired as of this review. Policy Section 5 is explicit that a breach "offset by a documented, approved waiver" doesn't trigger the Q-Factor, so Pool 4 stays at its base rate. Pools 1 and 2 aren't breaching anything and don't get an add-on either.</w:t>
      </w:r>
    </w:p>
    <w:p>
      <w:r>
        <w:t>Pooled reserve across the five tiers comes to $1,310,966.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None</w:t>
            </w:r>
          </w:p>
        </w:tc>
        <w:tc>
          <w:tcPr>
            <w:tcW w:type="dxa" w:w="1440"/>
          </w:tcPr>
          <w:p>
            <w:r>
              <w:t>0.35%</w:t>
            </w:r>
          </w:p>
        </w:tc>
        <w:tc>
          <w:tcPr>
            <w:tcW w:type="dxa" w:w="1440"/>
          </w:tcPr>
          <w:p>
            <w:r>
              <w:t>$307,995</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Five loans are carrying an active breach right now: LN-001, LN-002, LN-004, LN-006, and LN-010. LN-008 isn't part of this list because it's individually evaluated in Section 4, not pooled. Each one's Exception Tracking Log entry was pulled and checked for a Waiver Issued flag and expiry date before any Q-Factor got applied. Only LN-001 has an approved waiver still in force; the other four all show "Waiver Issued: No" and stay subject to the add-on.</w:t>
      </w:r>
    </w:p>
    <w:p>
      <w:r>
        <w:t>LN-001, LN-002, and LN-008 also carry a Watch List designation, which under the Loan Portfolio Review Policy just means an Internal Risk Rating of 4 or higher — that's a separate trigger from the Q-Factor and doesn't change the pooled math on its own, since the base loss rate already prices in the elevated rating. LN-001 stays on the Watch List even with the waiver in place; the waiver only affects the Q-Factor treatment, not the rating-based classification. LN-004, LN-006, and LN-010 are Rating 3, below the Watch List cutoff, but their breaches still pull the Pool 3 Q-Factor because that add-on applies to the whole pool, not just the specific loan that's breaching.</w:t>
      </w:r>
    </w:p>
    <w:p>
      <w:pPr>
        <w:pStyle w:val="Heading1"/>
      </w:pPr>
      <w:r>
        <w:t>6. Reserve Adequacy Conclusion</w:t>
      </w:r>
    </w:p>
    <w:p>
      <w:r>
        <w:t>$401,606 works out to about 32% of the currently booked reserve, well past the 10% band Policy Section 6 allows either direction. That makes the reserve inadequate as booked — an additional provision of $401,606 needs to go in this quarter and get reported up to the Board Audit Committee. Most of the gap traces back to two credits: LN-002, where a single loan in the Rating 5 pool is driving $703,452 of required reserve on its own, and LN-008's $340,640 specific reserve. Both reflect real, recent deterioration — a payment demand and two concurrent covenant breaches on LN-002, and a bankruptcy filing with falling collateral value on LN-008 — that the current booked balance doesn't seem to have caught up with yet.</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None of the breach determinations feeding the Q-Factor decision were taken on faith from the Covenant Compliance Workbook's actual-vs-threshold columns. DSCR came from Net Operating Income divided by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Everything recomputed this way landed within normal rounding of the workbook's own figures — no real conflicts turned up.</w:t>
      </w:r>
    </w:p>
    <w:p>
      <w:r>
        <w:t>Breach status by itself wasn't treated as enough to justify a Q-Factor, though. Every breaching loan's Waiver Issued and Waiver Expiry Date fields in Exception_Tracking_Log_Q4_2025.xlsx got checked first, consistent with Policy Section 5's carve-out for breaches "offset by a documented, approved waiver." That check is what surfaced LN-001's waiver — EXC-001, issued January 12, 2026, running to March 31, 2026, still active at the time of this review — so Pool 4 was reserved at base rate with no add-on. LN-002, LN-004, LN-006, and LN-010 came back with "Waiver Issued: No" on their respective exceptions and were assessed the Q-Factor accordingly.</w:t>
      </w:r>
    </w:p>
    <w:p>
      <w:r>
        <w:t>For LN-008's specific reserve, the appraised value used was the most recent one on file — the December 2025 inspection in the Appraisal and Collateral Summary, $830,000 — rather than anything from origination, which is what Policy Section 4 calls for regardless of how old the loan is. Exception EXC-010 independently backs this up, noting the loss reserve as already active for this credit.</w:t>
      </w:r>
    </w:p>
    <w:p>
      <w:pPr>
        <w:pStyle w:val="Heading1"/>
      </w:pPr>
      <w:r>
        <w:t>8. Approval and Distribution</w:t>
      </w:r>
    </w:p>
    <w:p>
      <w:r>
        <w:t>Per Policy Section 8, this memorandum must be reviewed and approved by the Chief Credit Officer prior to submission to the Board Audit Committee. It is submitted below for that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t>Credit Risk Division</w:t>
            </w:r>
          </w:p>
        </w:tc>
        <w:tc>
          <w:tcPr>
            <w:tcW w:type="dxa" w:w="2160"/>
          </w:tcPr>
          <w:p>
            <w:r/>
          </w:p>
        </w:tc>
        <w:tc>
          <w:tcPr>
            <w:tcW w:type="dxa" w:w="2160"/>
          </w:tcPr>
          <w:p>
            <w:r>
              <w:t>January 12, 2026</w:t>
            </w:r>
          </w:p>
        </w:tc>
      </w:tr>
      <w:tr>
        <w:tc>
          <w:tcPr>
            <w:tcW w:type="dxa" w:w="2160"/>
          </w:tcPr>
          <w:p>
            <w:r>
              <w:t>Reviewed and Approved by</w:t>
            </w:r>
          </w:p>
        </w:tc>
        <w:tc>
          <w:tcPr>
            <w:tcW w:type="dxa" w:w="2160"/>
          </w:tcPr>
          <w:p>
            <w:r>
              <w:t>Chief Credit Officer</w:t>
            </w:r>
          </w:p>
        </w:tc>
        <w:tc>
          <w:tcPr>
            <w:tcW w:type="dxa" w:w="2160"/>
          </w:tcPr>
          <w:p>
            <w:r/>
          </w:p>
        </w:tc>
        <w:tc>
          <w:tcPr>
            <w:tcW w:type="dxa" w:w="2160"/>
          </w:tcPr>
          <w:p>
            <w:r/>
          </w:p>
        </w:tc>
      </w:tr>
    </w:tbl>
    <w:p/>
    <w:p>
      <w:r>
        <w:t>Distribution per Policy Section 8: Chief Credit Officer, Chief Financial Officer, Board Audit Committee, and the Bank's external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