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Commercial Loan Portfolio Review</w:t>
      </w:r>
    </w:p>
    <w:p>
      <w:r>
        <w:t>Q4 2025  |  Prepared by Credit Risk Division</w:t>
      </w:r>
    </w:p>
    <w:p>
      <w:r>
        <w:t>Review Date: January 12, 2026, based on portfolio status as of the December 31, 2025 quarter-end close.</w:t>
      </w:r>
    </w:p>
    <w:p>
      <w:pPr>
        <w:pStyle w:val="Heading1"/>
      </w:pPr>
      <w:r>
        <w:t>1. Executive Summary</w:t>
      </w:r>
    </w:p>
    <w:p>
      <w:r>
        <w:t>This report presents the Q4 2025 quarterly review of the Tri-County commercial loan portfolio, conducted under the Loan Portfolio Review Policy. The portfolio comprises 29 loans totaling $134,656,509 in outstanding balance. Independent recomputation of DSCR, LTV, and Current Ratio from the underlying financial statements and appraisal data, rather than reliance on the Covenant Compliance Workbook's pre-filled figures, surfaced 10 individual covenant breaches across 7 loans, including two loans, LN-002 and LN-019, whose breaches do not appear at all in the workbook's Actual LTV column and would have been missed under a face-value review.</w:t>
      </w:r>
    </w:p>
    <w:p>
      <w:r>
        <w:t>Three loans carry an Internal Risk Rating of 4 or higher and sit on the Watch List: LN-001, LN-002, and LN-008, together $12,119,961 (9.00% of the portfolio). One loan, LN-008, meets the policy's non-performing definition at 97 days past due and in Chapter 11. All three Board-approved concentration limits, single borrower, single loan type, and single loan officer, are currently breached. Overall portfolio quality is adequate but requires close management of the seven breaching credits and near-term attention to concentration exposure.</w:t>
      </w:r>
    </w:p>
    <w:p>
      <w:pPr>
        <w:pStyle w:val="Heading1"/>
      </w:pPr>
      <w:r>
        <w:t>2. Covenant Compliance Summary</w:t>
      </w:r>
    </w:p>
    <w:p>
      <w:r>
        <w:t>Per Policy Section 3, all 29 loans were tested against their loan-specific DSCR, LTV, and Current Ratio thresholds. Rather than accepting the Actual DSCR, Actual LTV, and Actual Current Ratio columns already filled in on Covenant_Compliance_Workbook_Q4_2025.xlsx, each ratio was independently rebuilt: DSCR as Net Operating Income over Total Annual Debt Service from Borrower_Financial_Statements_Summary.xlsx, LTV as Outstanding Balance from Loan_Register_Q4_2025.xlsx over the appraised value in Appraisal_and_Collateral_Summary_Q4_2025.xlsx, and Current Ratio as Current Assets over Current Liabilities from the financial statements file.</w:t>
      </w:r>
    </w:p>
    <w:p>
      <w:pPr>
        <w:pStyle w:val="Heading2"/>
      </w:pPr>
      <w:r>
        <w:t>DSCR Breaches</w:t>
      </w:r>
    </w:p>
    <w:p>
      <w:r>
        <w:t>Three loans fall below their loan-specific DSCR minimum: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Loan</w:t>
            </w:r>
          </w:p>
        </w:tc>
        <w:tc>
          <w:tcPr>
            <w:tcW w:type="dxa" w:w="2160"/>
          </w:tcPr>
          <w:p>
            <w:r>
              <w:rPr>
                <w:b/>
              </w:rPr>
              <w:t>Borrower</w:t>
            </w:r>
          </w:p>
        </w:tc>
        <w:tc>
          <w:tcPr>
            <w:tcW w:type="dxa" w:w="2160"/>
          </w:tcPr>
          <w:p>
            <w:r>
              <w:rPr>
                <w:b/>
              </w:rPr>
              <w:t>Recomputed DSCR</w:t>
            </w:r>
          </w:p>
        </w:tc>
        <w:tc>
          <w:tcPr>
            <w:tcW w:type="dxa" w:w="2160"/>
          </w:tcPr>
          <w:p>
            <w:r>
              <w:rPr>
                <w:b/>
              </w:rPr>
              <w:t>Minimum</w:t>
            </w:r>
          </w:p>
        </w:tc>
      </w:tr>
      <w:tr>
        <w:tc>
          <w:tcPr>
            <w:tcW w:type="dxa" w:w="2160"/>
          </w:tcPr>
          <w:p>
            <w:r>
              <w:t>LN-001</w:t>
            </w:r>
          </w:p>
        </w:tc>
        <w:tc>
          <w:tcPr>
            <w:tcW w:type="dxa" w:w="2160"/>
          </w:tcPr>
          <w:p>
            <w:r>
              <w:t>Talbot Steel Fabricators LLC</w:t>
            </w:r>
          </w:p>
        </w:tc>
        <w:tc>
          <w:tcPr>
            <w:tcW w:type="dxa" w:w="2160"/>
          </w:tcPr>
          <w:p>
            <w:r>
              <w:t>1.07x</w:t>
            </w:r>
          </w:p>
        </w:tc>
        <w:tc>
          <w:tcPr>
            <w:tcW w:type="dxa" w:w="2160"/>
          </w:tcPr>
          <w:p>
            <w:r>
              <w:t>1.20x</w:t>
            </w:r>
          </w:p>
        </w:tc>
      </w:tr>
      <w:tr>
        <w:tc>
          <w:tcPr>
            <w:tcW w:type="dxa" w:w="2160"/>
          </w:tcPr>
          <w:p>
            <w:r>
              <w:t>LN-004</w:t>
            </w:r>
          </w:p>
        </w:tc>
        <w:tc>
          <w:tcPr>
            <w:tcW w:type="dxa" w:w="2160"/>
          </w:tcPr>
          <w:p>
            <w:r>
              <w:t>Coastal Auto Group</w:t>
            </w:r>
          </w:p>
        </w:tc>
        <w:tc>
          <w:tcPr>
            <w:tcW w:type="dxa" w:w="2160"/>
          </w:tcPr>
          <w:p>
            <w:r>
              <w:t>1.14x</w:t>
            </w:r>
          </w:p>
        </w:tc>
        <w:tc>
          <w:tcPr>
            <w:tcW w:type="dxa" w:w="2160"/>
          </w:tcPr>
          <w:p>
            <w:r>
              <w:t>1.20x</w:t>
            </w:r>
          </w:p>
        </w:tc>
      </w:tr>
      <w:tr>
        <w:tc>
          <w:tcPr>
            <w:tcW w:type="dxa" w:w="2160"/>
          </w:tcPr>
          <w:p>
            <w:r>
              <w:t>LN-008</w:t>
            </w:r>
          </w:p>
        </w:tc>
        <w:tc>
          <w:tcPr>
            <w:tcW w:type="dxa" w:w="2160"/>
          </w:tcPr>
          <w:p>
            <w:r>
              <w:t>Palmetto Print &amp; Packaging Inc.</w:t>
            </w:r>
          </w:p>
        </w:tc>
        <w:tc>
          <w:tcPr>
            <w:tcW w:type="dxa" w:w="2160"/>
          </w:tcPr>
          <w:p>
            <w:r>
              <w:t>0.81x</w:t>
            </w:r>
          </w:p>
        </w:tc>
        <w:tc>
          <w:tcPr>
            <w:tcW w:type="dxa" w:w="2160"/>
          </w:tcPr>
          <w:p>
            <w:r>
              <w:t>1.20x</w:t>
            </w:r>
          </w:p>
        </w:tc>
      </w:tr>
    </w:tbl>
    <w:p/>
    <w:p>
      <w:pPr>
        <w:pStyle w:val="Heading2"/>
      </w:pPr>
      <w:r>
        <w:t>LTV Breaches</w:t>
      </w:r>
    </w:p>
    <w:p>
      <w:r>
        <w:t>Four loans exceed their loan-specific LTV maximum. Two of these, LN-002 and LN-019, are not visible in the workbook at all: the workbook's Actual LTV for LN-002 reads 71.5% (calculated against the $9,600,000 origination-date value rather than the current $8,200,000 appraisal) and for LN-019 reads 72.8% (calculated against the prior $5,800,000 collateral figure rather than the $4,800,000 December 2025 floor-plan revaluation). Both figures are stale, and both loans were confirmed breaching only by recomputing LTV directly from the Loan Register balance and the current appraised value.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Loan</w:t>
            </w:r>
          </w:p>
        </w:tc>
        <w:tc>
          <w:tcPr>
            <w:tcW w:type="dxa" w:w="1728"/>
          </w:tcPr>
          <w:p>
            <w:r>
              <w:rPr>
                <w:b/>
              </w:rPr>
              <w:t>Borrower</w:t>
            </w:r>
          </w:p>
        </w:tc>
        <w:tc>
          <w:tcPr>
            <w:tcW w:type="dxa" w:w="1728"/>
          </w:tcPr>
          <w:p>
            <w:r>
              <w:rPr>
                <w:b/>
              </w:rPr>
              <w:t>Recomputed LTV</w:t>
            </w:r>
          </w:p>
        </w:tc>
        <w:tc>
          <w:tcPr>
            <w:tcW w:type="dxa" w:w="1728"/>
          </w:tcPr>
          <w:p>
            <w:r>
              <w:rPr>
                <w:b/>
              </w:rPr>
              <w:t>Maximum</w:t>
            </w:r>
          </w:p>
        </w:tc>
        <w:tc>
          <w:tcPr>
            <w:tcW w:type="dxa" w:w="1728"/>
          </w:tcPr>
          <w:p>
            <w:r>
              <w:rPr>
                <w:b/>
              </w:rPr>
              <w:t>Workbook Actual LTV</w:t>
            </w:r>
          </w:p>
        </w:tc>
      </w:tr>
      <w:tr>
        <w:tc>
          <w:tcPr>
            <w:tcW w:type="dxa" w:w="1728"/>
          </w:tcPr>
          <w:p>
            <w:r>
              <w:t>LN-002</w:t>
            </w:r>
          </w:p>
        </w:tc>
        <w:tc>
          <w:tcPr>
            <w:tcW w:type="dxa" w:w="1728"/>
          </w:tcPr>
          <w:p>
            <w:r>
              <w:t>Corrigan Retail Partners</w:t>
            </w:r>
          </w:p>
        </w:tc>
        <w:tc>
          <w:tcPr>
            <w:tcW w:type="dxa" w:w="1728"/>
          </w:tcPr>
          <w:p>
            <w:r>
              <w:t>88.0%</w:t>
            </w:r>
          </w:p>
        </w:tc>
        <w:tc>
          <w:tcPr>
            <w:tcW w:type="dxa" w:w="1728"/>
          </w:tcPr>
          <w:p>
            <w:r>
              <w:t>75%</w:t>
            </w:r>
          </w:p>
        </w:tc>
        <w:tc>
          <w:tcPr>
            <w:tcW w:type="dxa" w:w="1728"/>
          </w:tcPr>
          <w:p>
            <w:r>
              <w:t>71.5% (stale)</w:t>
            </w:r>
          </w:p>
        </w:tc>
      </w:tr>
      <w:tr>
        <w:tc>
          <w:tcPr>
            <w:tcW w:type="dxa" w:w="1728"/>
          </w:tcPr>
          <w:p>
            <w:r>
              <w:t>LN-008</w:t>
            </w:r>
          </w:p>
        </w:tc>
        <w:tc>
          <w:tcPr>
            <w:tcW w:type="dxa" w:w="1728"/>
          </w:tcPr>
          <w:p>
            <w:r>
              <w:t>Palmetto Print &amp; Packaging Inc.</w:t>
            </w:r>
          </w:p>
        </w:tc>
        <w:tc>
          <w:tcPr>
            <w:tcW w:type="dxa" w:w="1728"/>
          </w:tcPr>
          <w:p>
            <w:r>
              <w:t>131.0%</w:t>
            </w:r>
          </w:p>
        </w:tc>
        <w:tc>
          <w:tcPr>
            <w:tcW w:type="dxa" w:w="1728"/>
          </w:tcPr>
          <w:p>
            <w:r>
              <w:t>80%</w:t>
            </w:r>
          </w:p>
        </w:tc>
        <w:tc>
          <w:tcPr>
            <w:tcW w:type="dxa" w:w="1728"/>
          </w:tcPr>
          <w:p>
            <w:r>
              <w:t>130.9%</w:t>
            </w:r>
          </w:p>
        </w:tc>
      </w:tr>
      <w:tr>
        <w:tc>
          <w:tcPr>
            <w:tcW w:type="dxa" w:w="1728"/>
          </w:tcPr>
          <w:p>
            <w:r>
              <w:t>LN-010</w:t>
            </w:r>
          </w:p>
        </w:tc>
        <w:tc>
          <w:tcPr>
            <w:tcW w:type="dxa" w:w="1728"/>
          </w:tcPr>
          <w:p>
            <w:r>
              <w:t>U-Save Self Storage LLC</w:t>
            </w:r>
          </w:p>
        </w:tc>
        <w:tc>
          <w:tcPr>
            <w:tcW w:type="dxa" w:w="1728"/>
          </w:tcPr>
          <w:p>
            <w:r>
              <w:t>85.2%</w:t>
            </w:r>
          </w:p>
        </w:tc>
        <w:tc>
          <w:tcPr>
            <w:tcW w:type="dxa" w:w="1728"/>
          </w:tcPr>
          <w:p>
            <w:r>
              <w:t>75%</w:t>
            </w:r>
          </w:p>
        </w:tc>
        <w:tc>
          <w:tcPr>
            <w:tcW w:type="dxa" w:w="1728"/>
          </w:tcPr>
          <w:p>
            <w:r>
              <w:t>85.2%</w:t>
            </w:r>
          </w:p>
        </w:tc>
      </w:tr>
      <w:tr>
        <w:tc>
          <w:tcPr>
            <w:tcW w:type="dxa" w:w="1728"/>
          </w:tcPr>
          <w:p>
            <w:r>
              <w:t>LN-019</w:t>
            </w:r>
          </w:p>
        </w:tc>
        <w:tc>
          <w:tcPr>
            <w:tcW w:type="dxa" w:w="1728"/>
          </w:tcPr>
          <w:p>
            <w:r>
              <w:t>Interstate Automotive LLC</w:t>
            </w:r>
          </w:p>
        </w:tc>
        <w:tc>
          <w:tcPr>
            <w:tcW w:type="dxa" w:w="1728"/>
          </w:tcPr>
          <w:p>
            <w:r>
              <w:t>88.0%</w:t>
            </w:r>
          </w:p>
        </w:tc>
        <w:tc>
          <w:tcPr>
            <w:tcW w:type="dxa" w:w="1728"/>
          </w:tcPr>
          <w:p>
            <w:r>
              <w:t>80%</w:t>
            </w:r>
          </w:p>
        </w:tc>
        <w:tc>
          <w:tcPr>
            <w:tcW w:type="dxa" w:w="1728"/>
          </w:tcPr>
          <w:p>
            <w:r>
              <w:t>72.8% (stale)</w:t>
            </w:r>
          </w:p>
        </w:tc>
      </w:tr>
    </w:tbl>
    <w:p/>
    <w:p>
      <w:pPr>
        <w:pStyle w:val="Heading2"/>
      </w:pPr>
      <w:r>
        <w:t>Current Ratio Breaches</w:t>
      </w:r>
    </w:p>
    <w:p>
      <w:r>
        <w:t>Three loans fall below their loan-specific Current Ratio minimum: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Loan</w:t>
            </w:r>
          </w:p>
        </w:tc>
        <w:tc>
          <w:tcPr>
            <w:tcW w:type="dxa" w:w="2160"/>
          </w:tcPr>
          <w:p>
            <w:r>
              <w:rPr>
                <w:b/>
              </w:rPr>
              <w:t>Borrower</w:t>
            </w:r>
          </w:p>
        </w:tc>
        <w:tc>
          <w:tcPr>
            <w:tcW w:type="dxa" w:w="2160"/>
          </w:tcPr>
          <w:p>
            <w:r>
              <w:rPr>
                <w:b/>
              </w:rPr>
              <w:t>Recomputed Current Ratio</w:t>
            </w:r>
          </w:p>
        </w:tc>
        <w:tc>
          <w:tcPr>
            <w:tcW w:type="dxa" w:w="2160"/>
          </w:tcPr>
          <w:p>
            <w:r>
              <w:rPr>
                <w:b/>
              </w:rPr>
              <w:t>Minimum</w:t>
            </w:r>
          </w:p>
        </w:tc>
      </w:tr>
      <w:tr>
        <w:tc>
          <w:tcPr>
            <w:tcW w:type="dxa" w:w="2160"/>
          </w:tcPr>
          <w:p>
            <w:r>
              <w:t>LN-002</w:t>
            </w:r>
          </w:p>
        </w:tc>
        <w:tc>
          <w:tcPr>
            <w:tcW w:type="dxa" w:w="2160"/>
          </w:tcPr>
          <w:p>
            <w:r>
              <w:t>Corrigan Retail Partners</w:t>
            </w:r>
          </w:p>
        </w:tc>
        <w:tc>
          <w:tcPr>
            <w:tcW w:type="dxa" w:w="2160"/>
          </w:tcPr>
          <w:p>
            <w:r>
              <w:t>0.94x</w:t>
            </w:r>
          </w:p>
        </w:tc>
        <w:tc>
          <w:tcPr>
            <w:tcW w:type="dxa" w:w="2160"/>
          </w:tcPr>
          <w:p>
            <w:r>
              <w:t>1.00x</w:t>
            </w:r>
          </w:p>
        </w:tc>
      </w:tr>
      <w:tr>
        <w:tc>
          <w:tcPr>
            <w:tcW w:type="dxa" w:w="2160"/>
          </w:tcPr>
          <w:p>
            <w:r>
              <w:t>LN-006</w:t>
            </w:r>
          </w:p>
        </w:tc>
        <w:tc>
          <w:tcPr>
            <w:tcW w:type="dxa" w:w="2160"/>
          </w:tcPr>
          <w:p>
            <w:r>
              <w:t>Harbor Grille Restaurant Group</w:t>
            </w:r>
          </w:p>
        </w:tc>
        <w:tc>
          <w:tcPr>
            <w:tcW w:type="dxa" w:w="2160"/>
          </w:tcPr>
          <w:p>
            <w:r>
              <w:t>1.03x</w:t>
            </w:r>
          </w:p>
        </w:tc>
        <w:tc>
          <w:tcPr>
            <w:tcW w:type="dxa" w:w="2160"/>
          </w:tcPr>
          <w:p>
            <w:r>
              <w:t>1.20x</w:t>
            </w:r>
          </w:p>
        </w:tc>
      </w:tr>
      <w:tr>
        <w:tc>
          <w:tcPr>
            <w:tcW w:type="dxa" w:w="2160"/>
          </w:tcPr>
          <w:p>
            <w:r>
              <w:t>LN-008</w:t>
            </w:r>
          </w:p>
        </w:tc>
        <w:tc>
          <w:tcPr>
            <w:tcW w:type="dxa" w:w="2160"/>
          </w:tcPr>
          <w:p>
            <w:r>
              <w:t>Palmetto Print &amp; Packaging Inc.</w:t>
            </w:r>
          </w:p>
        </w:tc>
        <w:tc>
          <w:tcPr>
            <w:tcW w:type="dxa" w:w="2160"/>
          </w:tcPr>
          <w:p>
            <w:r>
              <w:t>0.72x</w:t>
            </w:r>
          </w:p>
        </w:tc>
        <w:tc>
          <w:tcPr>
            <w:tcW w:type="dxa" w:w="2160"/>
          </w:tcPr>
          <w:p>
            <w:r>
              <w:t>1.10x</w:t>
            </w:r>
          </w:p>
        </w:tc>
      </w:tr>
    </w:tbl>
    <w:p/>
    <w:p>
      <w:pPr>
        <w:pStyle w:val="Heading2"/>
      </w:pPr>
      <w:r>
        <w:t>Concurrent Violations</w:t>
      </w:r>
    </w:p>
    <w:p>
      <w:r>
        <w:t>LN-008 (Palmetto Print &amp; Packaging Inc.) carries concurrent DSCR, LTV, and Current Ratio breaches, the only loan in the portfolio in default on all three covenants simultaneously. LN-002 (Corrigan Retail Partners) carries two concurrent breaches (LTV and Current Ratio), both of which the Covenant Compliance Workbook's pre-filled figures fail to show. In total, 10 individual covenant violations span 7 distinct loans: LN-001, LN-002, LN-004, LN-006, LN-008, LN-010, and LN-019.</w:t>
      </w:r>
    </w:p>
    <w:p>
      <w:pPr>
        <w:pStyle w:val="Heading1"/>
      </w:pPr>
      <w:r>
        <w:t>3. Watch List Analysis</w:t>
      </w:r>
    </w:p>
    <w:p>
      <w:r>
        <w:t>Per Policy Section 4, any loan carrying an Internal Risk Rating of 4 or higher is automatically placed on the Watch List. Three loans qualify: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w:t>
            </w:r>
          </w:p>
        </w:tc>
        <w:tc>
          <w:tcPr>
            <w:tcW w:type="dxa" w:w="1440"/>
          </w:tcPr>
          <w:p>
            <w:r>
              <w:rPr>
                <w:b/>
              </w:rPr>
              <w:t>Borrower</w:t>
            </w:r>
          </w:p>
        </w:tc>
        <w:tc>
          <w:tcPr>
            <w:tcW w:type="dxa" w:w="1440"/>
          </w:tcPr>
          <w:p>
            <w:r>
              <w:rPr>
                <w:b/>
              </w:rPr>
              <w:t>Risk Rating</w:t>
            </w:r>
          </w:p>
        </w:tc>
        <w:tc>
          <w:tcPr>
            <w:tcW w:type="dxa" w:w="1440"/>
          </w:tcPr>
          <w:p>
            <w:r>
              <w:rPr>
                <w:b/>
              </w:rPr>
              <w:t>Balance</w:t>
            </w:r>
          </w:p>
        </w:tc>
        <w:tc>
          <w:tcPr>
            <w:tcW w:type="dxa" w:w="1440"/>
          </w:tcPr>
          <w:p>
            <w:r>
              <w:rPr>
                <w:b/>
              </w:rPr>
              <w:t>Officer</w:t>
            </w:r>
          </w:p>
        </w:tc>
        <w:tc>
          <w:tcPr>
            <w:tcW w:type="dxa" w:w="1440"/>
          </w:tcPr>
          <w:p>
            <w:r>
              <w:rPr>
                <w:b/>
              </w:rPr>
              <w:t>Status per Exception Log</w:t>
            </w:r>
          </w:p>
        </w:tc>
      </w:tr>
      <w:tr>
        <w:tc>
          <w:tcPr>
            <w:tcW w:type="dxa" w:w="1440"/>
          </w:tcPr>
          <w:p>
            <w:r>
              <w:t>LN-001</w:t>
            </w:r>
          </w:p>
        </w:tc>
        <w:tc>
          <w:tcPr>
            <w:tcW w:type="dxa" w:w="1440"/>
          </w:tcPr>
          <w:p>
            <w:r>
              <w:t>Talbot Steel Fabricators LLC</w:t>
            </w:r>
          </w:p>
        </w:tc>
        <w:tc>
          <w:tcPr>
            <w:tcW w:type="dxa" w:w="1440"/>
          </w:tcPr>
          <w:p>
            <w:r>
              <w:t>4</w:t>
            </w:r>
          </w:p>
        </w:tc>
        <w:tc>
          <w:tcPr>
            <w:tcW w:type="dxa" w:w="1440"/>
          </w:tcPr>
          <w:p>
            <w:r>
              <w:t>$3,817,432</w:t>
            </w:r>
          </w:p>
        </w:tc>
        <w:tc>
          <w:tcPr>
            <w:tcW w:type="dxa" w:w="1440"/>
          </w:tcPr>
          <w:p>
            <w:r>
              <w:t>Diana Flores</w:t>
            </w:r>
          </w:p>
        </w:tc>
        <w:tc>
          <w:tcPr>
            <w:tcW w:type="dxa" w:w="1440"/>
          </w:tcPr>
          <w:p>
            <w:r>
              <w:t>Waiver approved 11/25/2025 (EXC-001), expires 3/31/2026; remediation plan on file</w:t>
            </w:r>
          </w:p>
        </w:tc>
      </w:tr>
      <w:tr>
        <w:tc>
          <w:tcPr>
            <w:tcW w:type="dxa" w:w="1440"/>
          </w:tcPr>
          <w:p>
            <w:r>
              <w:t>LN-002</w:t>
            </w:r>
          </w:p>
        </w:tc>
        <w:tc>
          <w:tcPr>
            <w:tcW w:type="dxa" w:w="1440"/>
          </w:tcPr>
          <w:p>
            <w:r>
              <w:t>Corrigan Retail Partners</w:t>
            </w:r>
          </w:p>
        </w:tc>
        <w:tc>
          <w:tcPr>
            <w:tcW w:type="dxa" w:w="1440"/>
          </w:tcPr>
          <w:p>
            <w:r>
              <w:t>5</w:t>
            </w:r>
          </w:p>
        </w:tc>
        <w:tc>
          <w:tcPr>
            <w:tcW w:type="dxa" w:w="1440"/>
          </w:tcPr>
          <w:p>
            <w:r>
              <w:t>$7,214,889</w:t>
            </w:r>
          </w:p>
        </w:tc>
        <w:tc>
          <w:tcPr>
            <w:tcW w:type="dxa" w:w="1440"/>
          </w:tcPr>
          <w:p>
            <w:r>
              <w:t>Marcus Webb</w:t>
            </w:r>
          </w:p>
        </w:tc>
        <w:tc>
          <w:tcPr>
            <w:tcW w:type="dxa" w:w="1440"/>
          </w:tcPr>
          <w:p>
            <w:r>
              <w:t>No waiver; open LTV and Current Ratio exceptions (EXC-002, EXC-003); escalated to Watch List; formal demand issued (EXC-004)</w:t>
            </w:r>
          </w:p>
        </w:tc>
      </w:tr>
      <w:tr>
        <w:tc>
          <w:tcPr>
            <w:tcW w:type="dxa" w:w="1440"/>
          </w:tcPr>
          <w:p>
            <w:r>
              <w:t>LN-008</w:t>
            </w:r>
          </w:p>
        </w:tc>
        <w:tc>
          <w:tcPr>
            <w:tcW w:type="dxa" w:w="1440"/>
          </w:tcPr>
          <w:p>
            <w:r>
              <w:t>Palmetto Print &amp; Packaging Inc.</w:t>
            </w:r>
          </w:p>
        </w:tc>
        <w:tc>
          <w:tcPr>
            <w:tcW w:type="dxa" w:w="1440"/>
          </w:tcPr>
          <w:p>
            <w:r>
              <w:t>6</w:t>
            </w:r>
          </w:p>
        </w:tc>
        <w:tc>
          <w:tcPr>
            <w:tcW w:type="dxa" w:w="1440"/>
          </w:tcPr>
          <w:p>
            <w:r>
              <w:t>$1,087,640</w:t>
            </w:r>
          </w:p>
        </w:tc>
        <w:tc>
          <w:tcPr>
            <w:tcW w:type="dxa" w:w="1440"/>
          </w:tcPr>
          <w:p>
            <w:r>
              <w:t>Marcus Webb</w:t>
            </w:r>
          </w:p>
        </w:tc>
        <w:tc>
          <w:tcPr>
            <w:tcW w:type="dxa" w:w="1440"/>
          </w:tcPr>
          <w:p>
            <w:r>
              <w:t>Legal hold; Chapter 11 (EXC-008, EXC-009, EXC-010)</w:t>
            </w:r>
          </w:p>
        </w:tc>
      </w:tr>
    </w:tbl>
    <w:p/>
    <w:p>
      <w:r>
        <w:t>Combined Watch List exposure is $12,119,961, or 9.00% of the portfolio. No other loan in the Loan Register carries a risk rating of 4 or above. LN-001 is the only one of the three with an active, unexpired waiver offsetting its breach; LN-002 and LN-008 have no offsetting waiver on file.</w:t>
      </w:r>
    </w:p>
    <w:p>
      <w:pPr>
        <w:pStyle w:val="Heading1"/>
      </w:pPr>
      <w:r>
        <w:t>4. Concentration Risk Analysis</w:t>
      </w:r>
    </w:p>
    <w:p>
      <w:r>
        <w:t>Policy Section 6 sets three Board-approved concentration limits: no single borrower over 15% of total portfolio outstanding, no single loan type over 40%, and no single loan officer's book over 40%. All three are currently breached.</w:t>
      </w:r>
    </w:p>
    <w:p>
      <w:pPr>
        <w:pStyle w:val="Heading2"/>
      </w:pPr>
      <w:r>
        <w:t>Single Borrower Concentration</w:t>
      </w:r>
    </w:p>
    <w:p>
      <w:r>
        <w:t>The largest single relationship is LN-028 (Meridian Business Park LLC) at $21,117,450, or 15.68% of the $134,656,509 portfolio, 0.68 points over the 15% limit. No other single borrower exceeds the limit; the next-largest, LN-022 (DataVault Systems LLC) at $17,224,110, is 12.79% of the portfolio.</w:t>
      </w:r>
    </w:p>
    <w:p>
      <w:pPr>
        <w:pStyle w:val="Heading2"/>
      </w:pPr>
      <w:r>
        <w:t>Loan Type Concentration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Loan Type</w:t>
            </w:r>
          </w:p>
        </w:tc>
        <w:tc>
          <w:tcPr>
            <w:tcW w:type="dxa" w:w="1728"/>
          </w:tcPr>
          <w:p>
            <w:r>
              <w:rPr>
                <w:b/>
              </w:rPr>
              <w:t>Loan Count</w:t>
            </w:r>
          </w:p>
        </w:tc>
        <w:tc>
          <w:tcPr>
            <w:tcW w:type="dxa" w:w="1728"/>
          </w:tcPr>
          <w:p>
            <w:r>
              <w:rPr>
                <w:b/>
              </w:rPr>
              <w:t>Balance</w:t>
            </w:r>
          </w:p>
        </w:tc>
        <w:tc>
          <w:tcPr>
            <w:tcW w:type="dxa" w:w="1728"/>
          </w:tcPr>
          <w:p>
            <w:r>
              <w:rPr>
                <w:b/>
              </w:rPr>
              <w:t>% of Portfolio</w:t>
            </w:r>
          </w:p>
        </w:tc>
        <w:tc>
          <w:tcPr>
            <w:tcW w:type="dxa" w:w="1728"/>
          </w:tcPr>
          <w:p>
            <w:r>
              <w:rPr>
                <w:b/>
              </w:rPr>
              <w:t>vs. 40% Limit</w:t>
            </w:r>
          </w:p>
        </w:tc>
      </w:tr>
      <w:tr>
        <w:tc>
          <w:tcPr>
            <w:tcW w:type="dxa" w:w="1728"/>
          </w:tcPr>
          <w:p>
            <w:r>
              <w:t>Commercial Mortgage</w:t>
            </w:r>
          </w:p>
        </w:tc>
        <w:tc>
          <w:tcPr>
            <w:tcW w:type="dxa" w:w="1728"/>
          </w:tcPr>
          <w:p>
            <w:r>
              <w:t>9</w:t>
            </w:r>
          </w:p>
        </w:tc>
        <w:tc>
          <w:tcPr>
            <w:tcW w:type="dxa" w:w="1728"/>
          </w:tcPr>
          <w:p>
            <w:r>
              <w:t>$88,481,044</w:t>
            </w:r>
          </w:p>
        </w:tc>
        <w:tc>
          <w:tcPr>
            <w:tcW w:type="dxa" w:w="1728"/>
          </w:tcPr>
          <w:p>
            <w:r>
              <w:t>65.71%</w:t>
            </w:r>
          </w:p>
        </w:tc>
        <w:tc>
          <w:tcPr>
            <w:tcW w:type="dxa" w:w="1728"/>
          </w:tcPr>
          <w:p>
            <w:r>
              <w:t>Over by 25.71 pts</w:t>
            </w:r>
          </w:p>
        </w:tc>
      </w:tr>
      <w:tr>
        <w:tc>
          <w:tcPr>
            <w:tcW w:type="dxa" w:w="1728"/>
          </w:tcPr>
          <w:p>
            <w:r>
              <w:t>Term Loan</w:t>
            </w:r>
          </w:p>
        </w:tc>
        <w:tc>
          <w:tcPr>
            <w:tcW w:type="dxa" w:w="1728"/>
          </w:tcPr>
          <w:p>
            <w:r>
              <w:t>9</w:t>
            </w:r>
          </w:p>
        </w:tc>
        <w:tc>
          <w:tcPr>
            <w:tcW w:type="dxa" w:w="1728"/>
          </w:tcPr>
          <w:p>
            <w:r>
              <w:t>$20,281,745</w:t>
            </w:r>
          </w:p>
        </w:tc>
        <w:tc>
          <w:tcPr>
            <w:tcW w:type="dxa" w:w="1728"/>
          </w:tcPr>
          <w:p>
            <w:r>
              <w:t>15.06%</w:t>
            </w:r>
          </w:p>
        </w:tc>
        <w:tc>
          <w:tcPr>
            <w:tcW w:type="dxa" w:w="1728"/>
          </w:tcPr>
          <w:p>
            <w:r>
              <w:t>Within limit</w:t>
            </w:r>
          </w:p>
        </w:tc>
      </w:tr>
      <w:tr>
        <w:tc>
          <w:tcPr>
            <w:tcW w:type="dxa" w:w="1728"/>
          </w:tcPr>
          <w:p>
            <w:r>
              <w:t>Construction Loan</w:t>
            </w:r>
          </w:p>
        </w:tc>
        <w:tc>
          <w:tcPr>
            <w:tcW w:type="dxa" w:w="1728"/>
          </w:tcPr>
          <w:p>
            <w:r>
              <w:t>2</w:t>
            </w:r>
          </w:p>
        </w:tc>
        <w:tc>
          <w:tcPr>
            <w:tcW w:type="dxa" w:w="1728"/>
          </w:tcPr>
          <w:p>
            <w:r>
              <w:t>$10,550,680</w:t>
            </w:r>
          </w:p>
        </w:tc>
        <w:tc>
          <w:tcPr>
            <w:tcW w:type="dxa" w:w="1728"/>
          </w:tcPr>
          <w:p>
            <w:r>
              <w:t>7.84%</w:t>
            </w:r>
          </w:p>
        </w:tc>
        <w:tc>
          <w:tcPr>
            <w:tcW w:type="dxa" w:w="1728"/>
          </w:tcPr>
          <w:p>
            <w:r>
              <w:t>Within limit</w:t>
            </w:r>
          </w:p>
        </w:tc>
      </w:tr>
      <w:tr>
        <w:tc>
          <w:tcPr>
            <w:tcW w:type="dxa" w:w="1728"/>
          </w:tcPr>
          <w:p>
            <w:r>
              <w:t>Floor Plan Loan</w:t>
            </w:r>
          </w:p>
        </w:tc>
        <w:tc>
          <w:tcPr>
            <w:tcW w:type="dxa" w:w="1728"/>
          </w:tcPr>
          <w:p>
            <w:r>
              <w:t>2</w:t>
            </w:r>
          </w:p>
        </w:tc>
        <w:tc>
          <w:tcPr>
            <w:tcW w:type="dxa" w:w="1728"/>
          </w:tcPr>
          <w:p>
            <w:r>
              <w:t>$7,194,920</w:t>
            </w:r>
          </w:p>
        </w:tc>
        <w:tc>
          <w:tcPr>
            <w:tcW w:type="dxa" w:w="1728"/>
          </w:tcPr>
          <w:p>
            <w:r>
              <w:t>5.34%</w:t>
            </w:r>
          </w:p>
        </w:tc>
        <w:tc>
          <w:tcPr>
            <w:tcW w:type="dxa" w:w="1728"/>
          </w:tcPr>
          <w:p>
            <w:r>
              <w:t>Within limit</w:t>
            </w:r>
          </w:p>
        </w:tc>
      </w:tr>
      <w:tr>
        <w:tc>
          <w:tcPr>
            <w:tcW w:type="dxa" w:w="1728"/>
          </w:tcPr>
          <w:p>
            <w:r>
              <w:t>Equipment Loan</w:t>
            </w:r>
          </w:p>
        </w:tc>
        <w:tc>
          <w:tcPr>
            <w:tcW w:type="dxa" w:w="1728"/>
          </w:tcPr>
          <w:p>
            <w:r>
              <w:t>3</w:t>
            </w:r>
          </w:p>
        </w:tc>
        <w:tc>
          <w:tcPr>
            <w:tcW w:type="dxa" w:w="1728"/>
          </w:tcPr>
          <w:p>
            <w:r>
              <w:t>$3,051,850</w:t>
            </w:r>
          </w:p>
        </w:tc>
        <w:tc>
          <w:tcPr>
            <w:tcW w:type="dxa" w:w="1728"/>
          </w:tcPr>
          <w:p>
            <w:r>
              <w:t>2.27%</w:t>
            </w:r>
          </w:p>
        </w:tc>
        <w:tc>
          <w:tcPr>
            <w:tcW w:type="dxa" w:w="1728"/>
          </w:tcPr>
          <w:p>
            <w:r>
              <w:t>Within limit</w:t>
            </w:r>
          </w:p>
        </w:tc>
      </w:tr>
      <w:tr>
        <w:tc>
          <w:tcPr>
            <w:tcW w:type="dxa" w:w="1728"/>
          </w:tcPr>
          <w:p>
            <w:r>
              <w:t>Line of Credit</w:t>
            </w:r>
          </w:p>
        </w:tc>
        <w:tc>
          <w:tcPr>
            <w:tcW w:type="dxa" w:w="1728"/>
          </w:tcPr>
          <w:p>
            <w:r>
              <w:t>3</w:t>
            </w:r>
          </w:p>
        </w:tc>
        <w:tc>
          <w:tcPr>
            <w:tcW w:type="dxa" w:w="1728"/>
          </w:tcPr>
          <w:p>
            <w:r>
              <w:t>$2,902,460</w:t>
            </w:r>
          </w:p>
        </w:tc>
        <w:tc>
          <w:tcPr>
            <w:tcW w:type="dxa" w:w="1728"/>
          </w:tcPr>
          <w:p>
            <w:r>
              <w:t>2.16%</w:t>
            </w:r>
          </w:p>
        </w:tc>
        <w:tc>
          <w:tcPr>
            <w:tcW w:type="dxa" w:w="1728"/>
          </w:tcPr>
          <w:p>
            <w:r>
              <w:t>Within limit</w:t>
            </w:r>
          </w:p>
        </w:tc>
      </w:tr>
      <w:tr>
        <w:tc>
          <w:tcPr>
            <w:tcW w:type="dxa" w:w="1728"/>
          </w:tcPr>
          <w:p>
            <w:r>
              <w:t>Agricultural Term Loan</w:t>
            </w:r>
          </w:p>
        </w:tc>
        <w:tc>
          <w:tcPr>
            <w:tcW w:type="dxa" w:w="1728"/>
          </w:tcPr>
          <w:p>
            <w:r>
              <w:t>1</w:t>
            </w:r>
          </w:p>
        </w:tc>
        <w:tc>
          <w:tcPr>
            <w:tcW w:type="dxa" w:w="1728"/>
          </w:tcPr>
          <w:p>
            <w:r>
              <w:t>$2,193,810</w:t>
            </w:r>
          </w:p>
        </w:tc>
        <w:tc>
          <w:tcPr>
            <w:tcW w:type="dxa" w:w="1728"/>
          </w:tcPr>
          <w:p>
            <w:r>
              <w:t>1.63%</w:t>
            </w:r>
          </w:p>
        </w:tc>
        <w:tc>
          <w:tcPr>
            <w:tcW w:type="dxa" w:w="1728"/>
          </w:tcPr>
          <w:p>
            <w:r>
              <w:t>Within limit</w:t>
            </w:r>
          </w:p>
        </w:tc>
      </w:tr>
    </w:tbl>
    <w:p/>
    <w:p>
      <w:pPr>
        <w:pStyle w:val="Heading2"/>
      </w:pPr>
      <w:r>
        <w:t>Loan Officer Concentration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Officer</w:t>
            </w:r>
          </w:p>
        </w:tc>
        <w:tc>
          <w:tcPr>
            <w:tcW w:type="dxa" w:w="1728"/>
          </w:tcPr>
          <w:p>
            <w:r>
              <w:rPr>
                <w:b/>
              </w:rPr>
              <w:t>Loan Count</w:t>
            </w:r>
          </w:p>
        </w:tc>
        <w:tc>
          <w:tcPr>
            <w:tcW w:type="dxa" w:w="1728"/>
          </w:tcPr>
          <w:p>
            <w:r>
              <w:rPr>
                <w:b/>
              </w:rPr>
              <w:t>Balance</w:t>
            </w:r>
          </w:p>
        </w:tc>
        <w:tc>
          <w:tcPr>
            <w:tcW w:type="dxa" w:w="1728"/>
          </w:tcPr>
          <w:p>
            <w:r>
              <w:rPr>
                <w:b/>
              </w:rPr>
              <w:t>% of Portfolio</w:t>
            </w:r>
          </w:p>
        </w:tc>
        <w:tc>
          <w:tcPr>
            <w:tcW w:type="dxa" w:w="1728"/>
          </w:tcPr>
          <w:p>
            <w:r>
              <w:rPr>
                <w:b/>
              </w:rPr>
              <w:t>vs. 40% Limit</w:t>
            </w:r>
          </w:p>
        </w:tc>
      </w:tr>
      <w:tr>
        <w:tc>
          <w:tcPr>
            <w:tcW w:type="dxa" w:w="1728"/>
          </w:tcPr>
          <w:p>
            <w:r>
              <w:t>James Trotter</w:t>
            </w:r>
          </w:p>
        </w:tc>
        <w:tc>
          <w:tcPr>
            <w:tcW w:type="dxa" w:w="1728"/>
          </w:tcPr>
          <w:p>
            <w:r>
              <w:t>9</w:t>
            </w:r>
          </w:p>
        </w:tc>
        <w:tc>
          <w:tcPr>
            <w:tcW w:type="dxa" w:w="1728"/>
          </w:tcPr>
          <w:p>
            <w:r>
              <w:t>$82,101,025</w:t>
            </w:r>
          </w:p>
        </w:tc>
        <w:tc>
          <w:tcPr>
            <w:tcW w:type="dxa" w:w="1728"/>
          </w:tcPr>
          <w:p>
            <w:r>
              <w:t>60.97%</w:t>
            </w:r>
          </w:p>
        </w:tc>
        <w:tc>
          <w:tcPr>
            <w:tcW w:type="dxa" w:w="1728"/>
          </w:tcPr>
          <w:p>
            <w:r>
              <w:t>Over by 20.97 pts</w:t>
            </w:r>
          </w:p>
        </w:tc>
      </w:tr>
      <w:tr>
        <w:tc>
          <w:tcPr>
            <w:tcW w:type="dxa" w:w="1728"/>
          </w:tcPr>
          <w:p>
            <w:r>
              <w:t>Diana Flores</w:t>
            </w:r>
          </w:p>
        </w:tc>
        <w:tc>
          <w:tcPr>
            <w:tcW w:type="dxa" w:w="1728"/>
          </w:tcPr>
          <w:p>
            <w:r>
              <w:t>11</w:t>
            </w:r>
          </w:p>
        </w:tc>
        <w:tc>
          <w:tcPr>
            <w:tcW w:type="dxa" w:w="1728"/>
          </w:tcPr>
          <w:p>
            <w:r>
              <w:t>$26,929,522</w:t>
            </w:r>
          </w:p>
        </w:tc>
        <w:tc>
          <w:tcPr>
            <w:tcW w:type="dxa" w:w="1728"/>
          </w:tcPr>
          <w:p>
            <w:r>
              <w:t>20.00%</w:t>
            </w:r>
          </w:p>
        </w:tc>
        <w:tc>
          <w:tcPr>
            <w:tcW w:type="dxa" w:w="1728"/>
          </w:tcPr>
          <w:p>
            <w:r>
              <w:t>Within limit</w:t>
            </w:r>
          </w:p>
        </w:tc>
      </w:tr>
      <w:tr>
        <w:tc>
          <w:tcPr>
            <w:tcW w:type="dxa" w:w="1728"/>
          </w:tcPr>
          <w:p>
            <w:r>
              <w:t>Marcus Webb</w:t>
            </w:r>
          </w:p>
        </w:tc>
        <w:tc>
          <w:tcPr>
            <w:tcW w:type="dxa" w:w="1728"/>
          </w:tcPr>
          <w:p>
            <w:r>
              <w:t>9</w:t>
            </w:r>
          </w:p>
        </w:tc>
        <w:tc>
          <w:tcPr>
            <w:tcW w:type="dxa" w:w="1728"/>
          </w:tcPr>
          <w:p>
            <w:r>
              <w:t>$25,625,962</w:t>
            </w:r>
          </w:p>
        </w:tc>
        <w:tc>
          <w:tcPr>
            <w:tcW w:type="dxa" w:w="1728"/>
          </w:tcPr>
          <w:p>
            <w:r>
              <w:t>19.03%</w:t>
            </w:r>
          </w:p>
        </w:tc>
        <w:tc>
          <w:tcPr>
            <w:tcW w:type="dxa" w:w="1728"/>
          </w:tcPr>
          <w:p>
            <w:r>
              <w:t>Within limit</w:t>
            </w:r>
          </w:p>
        </w:tc>
      </w:tr>
    </w:tbl>
    <w:p/>
    <w:p>
      <w:r>
        <w:t>The Commercial Mortgage concentration is the most severe breach in dollar and percentage terms, followed by James Trotter's loan-officer book. Both warrant presentation to the Senior Loan Committee per Policy Section 6.</w:t>
      </w:r>
    </w:p>
    <w:p>
      <w:pPr>
        <w:pStyle w:val="Heading1"/>
      </w:pPr>
      <w:r>
        <w:t>5. Exception Tracking</w:t>
      </w:r>
    </w:p>
    <w:p>
      <w:r>
        <w:t>Eleven exceptions are currently open, transcribed from Exception_Tracking_Log_Q4_2025.xlsx: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Exception</w:t>
            </w:r>
          </w:p>
        </w:tc>
        <w:tc>
          <w:tcPr>
            <w:tcW w:type="dxa" w:w="1728"/>
          </w:tcPr>
          <w:p>
            <w:r>
              <w:rPr>
                <w:b/>
              </w:rPr>
              <w:t>Loan</w:t>
            </w:r>
          </w:p>
        </w:tc>
        <w:tc>
          <w:tcPr>
            <w:tcW w:type="dxa" w:w="1728"/>
          </w:tcPr>
          <w:p>
            <w:r>
              <w:rPr>
                <w:b/>
              </w:rPr>
              <w:t>Type</w:t>
            </w:r>
          </w:p>
        </w:tc>
        <w:tc>
          <w:tcPr>
            <w:tcW w:type="dxa" w:w="1728"/>
          </w:tcPr>
          <w:p>
            <w:r>
              <w:rPr>
                <w:b/>
              </w:rPr>
              <w:t>Officer</w:t>
            </w:r>
          </w:p>
        </w:tc>
        <w:tc>
          <w:tcPr>
            <w:tcW w:type="dxa" w:w="1728"/>
          </w:tcPr>
          <w:p>
            <w:r>
              <w:rPr>
                <w:b/>
              </w:rPr>
              <w:t>Status</w:t>
            </w:r>
          </w:p>
        </w:tc>
      </w:tr>
      <w:tr>
        <w:tc>
          <w:tcPr>
            <w:tcW w:type="dxa" w:w="1728"/>
          </w:tcPr>
          <w:p>
            <w:r>
              <w:t>EXC-001</w:t>
            </w:r>
          </w:p>
        </w:tc>
        <w:tc>
          <w:tcPr>
            <w:tcW w:type="dxa" w:w="1728"/>
          </w:tcPr>
          <w:p>
            <w:r>
              <w:t>LN-001</w:t>
            </w:r>
          </w:p>
        </w:tc>
        <w:tc>
          <w:tcPr>
            <w:tcW w:type="dxa" w:w="1728"/>
          </w:tcPr>
          <w:p>
            <w:r>
              <w:t>DSCR Covenant Breach</w:t>
            </w:r>
          </w:p>
        </w:tc>
        <w:tc>
          <w:tcPr>
            <w:tcW w:type="dxa" w:w="1728"/>
          </w:tcPr>
          <w:p>
            <w:r>
              <w:t>Diana Flores</w:t>
            </w:r>
          </w:p>
        </w:tc>
        <w:tc>
          <w:tcPr>
            <w:tcW w:type="dxa" w:w="1728"/>
          </w:tcPr>
          <w:p>
            <w:r>
              <w:t>Open, Monitoring; waiver approved 11/25/2025, expires 3/31/2026</w:t>
            </w:r>
          </w:p>
        </w:tc>
      </w:tr>
      <w:tr>
        <w:tc>
          <w:tcPr>
            <w:tcW w:type="dxa" w:w="1728"/>
          </w:tcPr>
          <w:p>
            <w:r>
              <w:t>EXC-002</w:t>
            </w:r>
          </w:p>
        </w:tc>
        <w:tc>
          <w:tcPr>
            <w:tcW w:type="dxa" w:w="1728"/>
          </w:tcPr>
          <w:p>
            <w:r>
              <w:t>LN-002</w:t>
            </w:r>
          </w:p>
        </w:tc>
        <w:tc>
          <w:tcPr>
            <w:tcW w:type="dxa" w:w="1728"/>
          </w:tcPr>
          <w:p>
            <w:r>
              <w:t>LTV Covenant Breach</w:t>
            </w:r>
          </w:p>
        </w:tc>
        <w:tc>
          <w:tcPr>
            <w:tcW w:type="dxa" w:w="1728"/>
          </w:tcPr>
          <w:p>
            <w:r>
              <w:t>Marcus Webb</w:t>
            </w:r>
          </w:p>
        </w:tc>
        <w:tc>
          <w:tcPr>
            <w:tcW w:type="dxa" w:w="1728"/>
          </w:tcPr>
          <w:p>
            <w:r>
              <w:t>Open, Escalated to Watch List</w:t>
            </w:r>
          </w:p>
        </w:tc>
      </w:tr>
      <w:tr>
        <w:tc>
          <w:tcPr>
            <w:tcW w:type="dxa" w:w="1728"/>
          </w:tcPr>
          <w:p>
            <w:r>
              <w:t>EXC-003</w:t>
            </w:r>
          </w:p>
        </w:tc>
        <w:tc>
          <w:tcPr>
            <w:tcW w:type="dxa" w:w="1728"/>
          </w:tcPr>
          <w:p>
            <w:r>
              <w:t>LN-002</w:t>
            </w:r>
          </w:p>
        </w:tc>
        <w:tc>
          <w:tcPr>
            <w:tcW w:type="dxa" w:w="1728"/>
          </w:tcPr>
          <w:p>
            <w:r>
              <w:t>Current Ratio Breach</w:t>
            </w:r>
          </w:p>
        </w:tc>
        <w:tc>
          <w:tcPr>
            <w:tcW w:type="dxa" w:w="1728"/>
          </w:tcPr>
          <w:p>
            <w:r>
              <w:t>Marcus Webb</w:t>
            </w:r>
          </w:p>
        </w:tc>
        <w:tc>
          <w:tcPr>
            <w:tcW w:type="dxa" w:w="1728"/>
          </w:tcPr>
          <w:p>
            <w:r>
              <w:t>Open, Escalated to Watch List</w:t>
            </w:r>
          </w:p>
        </w:tc>
      </w:tr>
      <w:tr>
        <w:tc>
          <w:tcPr>
            <w:tcW w:type="dxa" w:w="1728"/>
          </w:tcPr>
          <w:p>
            <w:r>
              <w:t>EXC-004</w:t>
            </w:r>
          </w:p>
        </w:tc>
        <w:tc>
          <w:tcPr>
            <w:tcW w:type="dxa" w:w="1728"/>
          </w:tcPr>
          <w:p>
            <w:r>
              <w:t>LN-002</w:t>
            </w:r>
          </w:p>
        </w:tc>
        <w:tc>
          <w:tcPr>
            <w:tcW w:type="dxa" w:w="1728"/>
          </w:tcPr>
          <w:p>
            <w:r>
              <w:t>Payment Delinquency</w:t>
            </w:r>
          </w:p>
        </w:tc>
        <w:tc>
          <w:tcPr>
            <w:tcW w:type="dxa" w:w="1728"/>
          </w:tcPr>
          <w:p>
            <w:r>
              <w:t>Marcus Webb</w:t>
            </w:r>
          </w:p>
        </w:tc>
        <w:tc>
          <w:tcPr>
            <w:tcW w:type="dxa" w:w="1728"/>
          </w:tcPr>
          <w:p>
            <w:r>
              <w:t>Open, Formal demand issued</w:t>
            </w:r>
          </w:p>
        </w:tc>
      </w:tr>
      <w:tr>
        <w:tc>
          <w:tcPr>
            <w:tcW w:type="dxa" w:w="1728"/>
          </w:tcPr>
          <w:p>
            <w:r>
              <w:t>EXC-005</w:t>
            </w:r>
          </w:p>
        </w:tc>
        <w:tc>
          <w:tcPr>
            <w:tcW w:type="dxa" w:w="1728"/>
          </w:tcPr>
          <w:p>
            <w:r>
              <w:t>LN-004</w:t>
            </w:r>
          </w:p>
        </w:tc>
        <w:tc>
          <w:tcPr>
            <w:tcW w:type="dxa" w:w="1728"/>
          </w:tcPr>
          <w:p>
            <w:r>
              <w:t>DSCR Covenant Breach</w:t>
            </w:r>
          </w:p>
        </w:tc>
        <w:tc>
          <w:tcPr>
            <w:tcW w:type="dxa" w:w="1728"/>
          </w:tcPr>
          <w:p>
            <w:r>
              <w:t>James Trotter</w:t>
            </w:r>
          </w:p>
        </w:tc>
        <w:tc>
          <w:tcPr>
            <w:tcW w:type="dxa" w:w="1728"/>
          </w:tcPr>
          <w:p>
            <w:r>
              <w:t>Open, Monitoring; remediation plan submitted</w:t>
            </w:r>
          </w:p>
        </w:tc>
      </w:tr>
      <w:tr>
        <w:tc>
          <w:tcPr>
            <w:tcW w:type="dxa" w:w="1728"/>
          </w:tcPr>
          <w:p>
            <w:r>
              <w:t>EXC-006</w:t>
            </w:r>
          </w:p>
        </w:tc>
        <w:tc>
          <w:tcPr>
            <w:tcW w:type="dxa" w:w="1728"/>
          </w:tcPr>
          <w:p>
            <w:r>
              <w:t>LN-004</w:t>
            </w:r>
          </w:p>
        </w:tc>
        <w:tc>
          <w:tcPr>
            <w:tcW w:type="dxa" w:w="1728"/>
          </w:tcPr>
          <w:p>
            <w:r>
              <w:t>Payment Delinquency</w:t>
            </w:r>
          </w:p>
        </w:tc>
        <w:tc>
          <w:tcPr>
            <w:tcW w:type="dxa" w:w="1728"/>
          </w:tcPr>
          <w:p>
            <w:r>
              <w:t>James Trotter</w:t>
            </w:r>
          </w:p>
        </w:tc>
        <w:tc>
          <w:tcPr>
            <w:tcW w:type="dxa" w:w="1728"/>
          </w:tcPr>
          <w:p>
            <w:r>
              <w:t>Open, Awaiting payment confirmation</w:t>
            </w:r>
          </w:p>
        </w:tc>
      </w:tr>
      <w:tr>
        <w:tc>
          <w:tcPr>
            <w:tcW w:type="dxa" w:w="1728"/>
          </w:tcPr>
          <w:p>
            <w:r>
              <w:t>EXC-007</w:t>
            </w:r>
          </w:p>
        </w:tc>
        <w:tc>
          <w:tcPr>
            <w:tcW w:type="dxa" w:w="1728"/>
          </w:tcPr>
          <w:p>
            <w:r>
              <w:t>LN-006</w:t>
            </w:r>
          </w:p>
        </w:tc>
        <w:tc>
          <w:tcPr>
            <w:tcW w:type="dxa" w:w="1728"/>
          </w:tcPr>
          <w:p>
            <w:r>
              <w:t>Current Ratio Breach</w:t>
            </w:r>
          </w:p>
        </w:tc>
        <w:tc>
          <w:tcPr>
            <w:tcW w:type="dxa" w:w="1728"/>
          </w:tcPr>
          <w:p>
            <w:r>
              <w:t>Marcus Webb</w:t>
            </w:r>
          </w:p>
        </w:tc>
        <w:tc>
          <w:tcPr>
            <w:tcW w:type="dxa" w:w="1728"/>
          </w:tcPr>
          <w:p>
            <w:r>
              <w:t>Open, Follow-up scheduled 3/1/2026</w:t>
            </w:r>
          </w:p>
        </w:tc>
      </w:tr>
      <w:tr>
        <w:tc>
          <w:tcPr>
            <w:tcW w:type="dxa" w:w="1728"/>
          </w:tcPr>
          <w:p>
            <w:r>
              <w:t>EXC-008</w:t>
            </w:r>
          </w:p>
        </w:tc>
        <w:tc>
          <w:tcPr>
            <w:tcW w:type="dxa" w:w="1728"/>
          </w:tcPr>
          <w:p>
            <w:r>
              <w:t>LN-008</w:t>
            </w:r>
          </w:p>
        </w:tc>
        <w:tc>
          <w:tcPr>
            <w:tcW w:type="dxa" w:w="1728"/>
          </w:tcPr>
          <w:p>
            <w:r>
              <w:t>DSCR Covenant Breach</w:t>
            </w:r>
          </w:p>
        </w:tc>
        <w:tc>
          <w:tcPr>
            <w:tcW w:type="dxa" w:w="1728"/>
          </w:tcPr>
          <w:p>
            <w:r>
              <w:t>Marcus Webb</w:t>
            </w:r>
          </w:p>
        </w:tc>
        <w:tc>
          <w:tcPr>
            <w:tcW w:type="dxa" w:w="1728"/>
          </w:tcPr>
          <w:p>
            <w:r>
              <w:t>Open, Legal Hold (Chapter 11)</w:t>
            </w:r>
          </w:p>
        </w:tc>
      </w:tr>
      <w:tr>
        <w:tc>
          <w:tcPr>
            <w:tcW w:type="dxa" w:w="1728"/>
          </w:tcPr>
          <w:p>
            <w:r>
              <w:t>EXC-009</w:t>
            </w:r>
          </w:p>
        </w:tc>
        <w:tc>
          <w:tcPr>
            <w:tcW w:type="dxa" w:w="1728"/>
          </w:tcPr>
          <w:p>
            <w:r>
              <w:t>LN-008</w:t>
            </w:r>
          </w:p>
        </w:tc>
        <w:tc>
          <w:tcPr>
            <w:tcW w:type="dxa" w:w="1728"/>
          </w:tcPr>
          <w:p>
            <w:r>
              <w:t>LTV Covenant Breach</w:t>
            </w:r>
          </w:p>
        </w:tc>
        <w:tc>
          <w:tcPr>
            <w:tcW w:type="dxa" w:w="1728"/>
          </w:tcPr>
          <w:p>
            <w:r>
              <w:t>Marcus Webb</w:t>
            </w:r>
          </w:p>
        </w:tc>
        <w:tc>
          <w:tcPr>
            <w:tcW w:type="dxa" w:w="1728"/>
          </w:tcPr>
          <w:p>
            <w:r>
              <w:t>Open, Legal Hold (Chapter 11)</w:t>
            </w:r>
          </w:p>
        </w:tc>
      </w:tr>
      <w:tr>
        <w:tc>
          <w:tcPr>
            <w:tcW w:type="dxa" w:w="1728"/>
          </w:tcPr>
          <w:p>
            <w:r>
              <w:t>EXC-010</w:t>
            </w:r>
          </w:p>
        </w:tc>
        <w:tc>
          <w:tcPr>
            <w:tcW w:type="dxa" w:w="1728"/>
          </w:tcPr>
          <w:p>
            <w:r>
              <w:t>LN-008</w:t>
            </w:r>
          </w:p>
        </w:tc>
        <w:tc>
          <w:tcPr>
            <w:tcW w:type="dxa" w:w="1728"/>
          </w:tcPr>
          <w:p>
            <w:r>
              <w:t>Non-Performing / 90+ DPD</w:t>
            </w:r>
          </w:p>
        </w:tc>
        <w:tc>
          <w:tcPr>
            <w:tcW w:type="dxa" w:w="1728"/>
          </w:tcPr>
          <w:p>
            <w:r>
              <w:t>Marcus Webb</w:t>
            </w:r>
          </w:p>
        </w:tc>
        <w:tc>
          <w:tcPr>
            <w:tcW w:type="dxa" w:w="1728"/>
          </w:tcPr>
          <w:p>
            <w:r>
              <w:t>Open, Loss Reserve Active</w:t>
            </w:r>
          </w:p>
        </w:tc>
      </w:tr>
      <w:tr>
        <w:tc>
          <w:tcPr>
            <w:tcW w:type="dxa" w:w="1728"/>
          </w:tcPr>
          <w:p>
            <w:r>
              <w:t>EXC-011</w:t>
            </w:r>
          </w:p>
        </w:tc>
        <w:tc>
          <w:tcPr>
            <w:tcW w:type="dxa" w:w="1728"/>
          </w:tcPr>
          <w:p>
            <w:r>
              <w:t>LN-010</w:t>
            </w:r>
          </w:p>
        </w:tc>
        <w:tc>
          <w:tcPr>
            <w:tcW w:type="dxa" w:w="1728"/>
          </w:tcPr>
          <w:p>
            <w:r>
              <w:t>LTV Covenant Breach</w:t>
            </w:r>
          </w:p>
        </w:tc>
        <w:tc>
          <w:tcPr>
            <w:tcW w:type="dxa" w:w="1728"/>
          </w:tcPr>
          <w:p>
            <w:r>
              <w:t>James Trotter</w:t>
            </w:r>
          </w:p>
        </w:tc>
        <w:tc>
          <w:tcPr>
            <w:tcW w:type="dxa" w:w="1728"/>
          </w:tcPr>
          <w:p>
            <w:r>
              <w:t>Open, Appraisal Dispute</w:t>
            </w:r>
          </w:p>
        </w:tc>
      </w:tr>
    </w:tbl>
    <w:p/>
    <w:p>
      <w:r>
        <w:t>Every breach identified in Section 2 above has a corresponding exception on file except one: LN-019's LTV breach has no exception record anywhere in the tracking log. That gap was only caught because DSCR, LTV, and Current Ratio were rebuilt from source data as this review requires rather than cross-checked solely against existing exceptions.</w:t>
      </w:r>
    </w:p>
    <w:p>
      <w:pPr>
        <w:pStyle w:val="Heading1"/>
      </w:pPr>
      <w:r>
        <w:t>6. Non-Performing Loan Schedule</w:t>
      </w:r>
    </w:p>
    <w:p>
      <w:r>
        <w:t>One loan meets the policy's non-performing definition of 90 or more days past due: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Loan</w:t>
            </w:r>
          </w:p>
        </w:tc>
        <w:tc>
          <w:tcPr>
            <w:tcW w:type="dxa" w:w="1234"/>
          </w:tcPr>
          <w:p>
            <w:r>
              <w:rPr>
                <w:b/>
              </w:rPr>
              <w:t>Borrower</w:t>
            </w:r>
          </w:p>
        </w:tc>
        <w:tc>
          <w:tcPr>
            <w:tcW w:type="dxa" w:w="1234"/>
          </w:tcPr>
          <w:p>
            <w:r>
              <w:rPr>
                <w:b/>
              </w:rPr>
              <w:t>Balance</w:t>
            </w:r>
          </w:p>
        </w:tc>
        <w:tc>
          <w:tcPr>
            <w:tcW w:type="dxa" w:w="1234"/>
          </w:tcPr>
          <w:p>
            <w:r>
              <w:rPr>
                <w:b/>
              </w:rPr>
              <w:t>Days Past Due</w:t>
            </w:r>
          </w:p>
        </w:tc>
        <w:tc>
          <w:tcPr>
            <w:tcW w:type="dxa" w:w="1234"/>
          </w:tcPr>
          <w:p>
            <w:r>
              <w:rPr>
                <w:b/>
              </w:rPr>
              <w:t>Collateral Value</w:t>
            </w:r>
          </w:p>
        </w:tc>
        <w:tc>
          <w:tcPr>
            <w:tcW w:type="dxa" w:w="1234"/>
          </w:tcPr>
          <w:p>
            <w:r>
              <w:rPr>
                <w:b/>
              </w:rPr>
              <w:t>LTV</w:t>
            </w:r>
          </w:p>
        </w:tc>
        <w:tc>
          <w:tcPr>
            <w:tcW w:type="dxa" w:w="1234"/>
          </w:tcPr>
          <w:p>
            <w:r>
              <w:rPr>
                <w:b/>
              </w:rPr>
              <w:t>Status</w:t>
            </w:r>
          </w:p>
        </w:tc>
      </w:tr>
      <w:tr>
        <w:tc>
          <w:tcPr>
            <w:tcW w:type="dxa" w:w="1234"/>
          </w:tcPr>
          <w:p>
            <w:r>
              <w:t>LN-008</w:t>
            </w:r>
          </w:p>
        </w:tc>
        <w:tc>
          <w:tcPr>
            <w:tcW w:type="dxa" w:w="1234"/>
          </w:tcPr>
          <w:p>
            <w:r>
              <w:t>Palmetto Print &amp; Packaging Inc.</w:t>
            </w:r>
          </w:p>
        </w:tc>
        <w:tc>
          <w:tcPr>
            <w:tcW w:type="dxa" w:w="1234"/>
          </w:tcPr>
          <w:p>
            <w:r>
              <w:t>$1,087,640</w:t>
            </w:r>
          </w:p>
        </w:tc>
        <w:tc>
          <w:tcPr>
            <w:tcW w:type="dxa" w:w="1234"/>
          </w:tcPr>
          <w:p>
            <w:r>
              <w:t>97</w:t>
            </w:r>
          </w:p>
        </w:tc>
        <w:tc>
          <w:tcPr>
            <w:tcW w:type="dxa" w:w="1234"/>
          </w:tcPr>
          <w:p>
            <w:r>
              <w:t>$830,000</w:t>
            </w:r>
          </w:p>
        </w:tc>
        <w:tc>
          <w:tcPr>
            <w:tcW w:type="dxa" w:w="1234"/>
          </w:tcPr>
          <w:p>
            <w:r>
              <w:t>131.0%</w:t>
            </w:r>
          </w:p>
        </w:tc>
        <w:tc>
          <w:tcPr>
            <w:tcW w:type="dxa" w:w="1234"/>
          </w:tcPr>
          <w:p>
            <w:r>
              <w:t>Chapter 11, legal hold</w:t>
            </w:r>
          </w:p>
        </w:tc>
      </w:tr>
    </w:tbl>
    <w:p/>
    <w:p>
      <w:r>
        <w:t>LN-008's manufacturing equipment collateral, appraised at $830,000 as of the December 11, 2025 inspection, covers approximately 76.3% of the outstanding balance. Two other loans carry delinquency exceptions but do not meet the non-performing threshold: LN-002 is 45 days past due (Watch List, not non-performing) and LN-004 is 15 days past due (delinquency exception only).</w:t>
      </w:r>
    </w:p>
    <w:p>
      <w:pPr>
        <w:pStyle w:val="Heading1"/>
      </w:pPr>
      <w:r>
        <w:t>7. Final Portfolio Risk Assessment</w:t>
      </w:r>
    </w:p>
    <w:p>
      <w:r>
        <w:t>The Q4 2025 portfolio carries a moderately elevated risk profile driven by four interconnected concerns.</w:t>
      </w:r>
    </w:p>
    <w:p>
      <w:r>
        <w:t>First, covenant breaches are broader than a workbook-only review would show: 10 individual violations across 7 loans, two of which, LN-002 and LN-019, only came to light because DSCR, LTV, and Current Ratio were rebuilt from source data rather than taken from the Covenant Compliance Workbook. LN-019 in particular has no exception on file at all, which is a gap in the exception-logging process worth flagging to the Credit Risk Division independent of the loan itself.</w:t>
      </w:r>
    </w:p>
    <w:p>
      <w:r>
        <w:t>Second, non-performing exposure is concentrated in a single credit: LN-008 is 97 days past due, in Chapter 11, and its collateral covers only about 76% of the outstanding balance.</w:t>
      </w:r>
    </w:p>
    <w:p>
      <w:r>
        <w:t>Third, Watch List exposure totals $12,119,961 across three loans; only LN-001 currently has an offsetting waiver, leaving LN-002 and LN-008 unaddressed by any formal accommodation.</w:t>
      </w:r>
    </w:p>
    <w:p>
      <w:r>
        <w:t>Fourth, all three Board-approved concentration limits are currently breached, most severely the 65.71% Commercial Mortgage concentration (versus a 40% limit) and James Trotter's 60.97% officer book (versus a 40% limit). The single-borrower breach on LN-028 is comparatively minor at 0.68 points over the limit.</w:t>
      </w:r>
    </w:p>
    <w:p>
      <w:r>
        <w:t>Recommended actions: present the loan-type and loan-officer concentration breaches to the Senior Loan Committee per Policy Section 6; obtain a current appraisal and covenant reassessment for LN-002 and require an exception record be opened for LN-019 given its recomputed breach has none; continue legal coordination on LN-008's bankruptcy proceeding. The remaining 22 of 29 loans are performing within covenant and payment terms and require no immediate action beyond standard quarterly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