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Claim Settlement Recommendation</w:t>
      </w:r>
    </w:p>
    <w:p>
      <w:r>
        <w:t>Claim Number: CLM-2025-08841  |  Policy Number: CP-4471932</w:t>
      </w:r>
    </w:p>
    <w:p>
      <w:r>
        <w:t>Named Insured: Bluegrass Precision Tooling, LLC  |  Date of Loss: October 14, 2025</w:t>
      </w:r>
    </w:p>
    <w:p>
      <w:r>
        <w:t>Prepared by: Property Claims Examiner, Heartland Mutual Insurance Company  |  Report Date: December 22, 2025</w:t>
      </w:r>
    </w:p>
    <w:p>
      <w:pPr>
        <w:pStyle w:val="Heading1"/>
      </w:pPr>
      <w:r>
        <w:t>1. Claim Summary</w:t>
      </w:r>
    </w:p>
    <w:p>
      <w:r>
        <w:t>Bluegrass Precision Tooling, LLC submitted a claim following an October 14, 2025 fire at its Elizabethtown, KY production facility. The Named Insured's public adjuster, Ellsworth Claims Advocates LLC, submitted a Proof of Loss on December 8, 2025 claiming $2,596,990: $1,330,000 for building repair (including code-required upgrades), $45,000 for debris removal, $620,000 for Business Personal Property at replacement cost, and $601,990 for Business Income and Extra Expense. The claim requests payment without any coinsurance adjustment on the basis of the Named Insured's claims-free history, which is not a basis the policy provides for waiving the Coinsurance Clause in Section 5.</w:t>
      </w:r>
    </w:p>
    <w:p>
      <w:r>
        <w:t>This recommendation applies the policy's coverage, valuation, coinsurance, ordinance or law, and business income provisions to the claimed amounts and the independent contractor, appraisal, and financial documentation on file, and recommends an immediate settlement of $2,184,315, with an additional $200,500 of recoverable depreciation payable upon proof of Business Personal Property replacement.</w:t>
      </w:r>
    </w:p>
    <w:p>
      <w:pPr>
        <w:pStyle w:val="Heading1"/>
      </w:pPr>
      <w:r>
        <w:t>2. Coverage and Cause of Loss Analysis</w:t>
      </w:r>
    </w:p>
    <w:p>
      <w:r>
        <w:t>Per the Origin and Cause Investigation Report, the fire originated at an electrical subpanel modified in March 2023 by a third-party contractor using undersized conductors that did not meet the applicable code. That modification is faulty workmanship, excluded under Policy Section 3. However, Section 3's Ensuing Loss provision covers a resulting Covered Cause of Loss, and the investigator's conclusion that the fire spread by ordinary combustion once ignited establishes fire, not the underlying wiring defect, as the proximate cause of the building and property damage. The fire damage is therefore a covered loss under Coverage A and Coverage B, and the resulting suspension of operations is a covered loss under Coverage C. No exclusion for Flood, Earth Movement, or Wear and Tear is implicated, consistent with the investigator's findings.</w:t>
      </w:r>
    </w:p>
    <w:p>
      <w:pPr>
        <w:pStyle w:val="Heading1"/>
      </w:pPr>
      <w:r>
        <w:t>3. Property Valuation</w:t>
      </w:r>
    </w:p>
    <w:p>
      <w:pPr>
        <w:pStyle w:val="Heading2"/>
      </w:pPr>
      <w:r>
        <w:t>Building (Coverage A)</w:t>
      </w:r>
    </w:p>
    <w:p>
      <w:r>
        <w:t>The Contractor_Repair_Estimate.xlsx separates the $1,330,000 claimed building figure into two categories that the policy treats differently: $1,150,000 of like-kind-and-quality structural, electrical, and roofing repair, and $180,000 of code-required upgrades to the fire sprinkler and electrical service, driven by current code rather than restoring the building to its pre-loss condition. Only the $1,150,000 like-kind-and-quality figure is valued under Coverage A; the $180,000 code-required upgrade is addressed separately under Ordinance or Law coverage in Section 5 below. Building repairs are valued on a Replacement Cost basis per Policy Section 4 once repairs of like kind and quality are contracted, which the Named Insured has done.</w:t>
      </w:r>
    </w:p>
    <w:p>
      <w:pPr>
        <w:pStyle w:val="Heading2"/>
      </w:pPr>
      <w:r>
        <w:t>Business Personal Property (Coverage B)</w:t>
      </w:r>
    </w:p>
    <w:p>
      <w:r>
        <w:t>Per the BPP Loss Detail in Business_Financial_Statements.xlsx, damaged equipment and inventory carry a Replacement Cost Value of $620,000 against accumulated depreciation ranging from 10% to 50% by item, producing an Actual Cash Value of $419,500. Per Policy Section 4, the $200,500 difference between Replacement Cost Value and Actual Cash Value is Recoverable Depreciation, payable only after the Named Insured replaces the damaged property and submits proof of replacement within 180 days of the date of loss. The public adjuster's claim of the full $620,000 Replacement Cost Value up front does not reflect this holdback requirement.</w:t>
      </w:r>
    </w:p>
    <w:p>
      <w:pPr>
        <w:pStyle w:val="Heading1"/>
      </w:pPr>
      <w:r>
        <w:t>4. Coinsurance Analysis</w:t>
      </w:r>
    </w:p>
    <w:p>
      <w:r>
        <w:t>Per Statement_of_Values_Appraisal.xlsx, the Building's appraised value at the time of loss was $2,700,000 against an 80% Coinsurance Percentage, requiring $2,160,000 of insurance to avoid a penalty. The Named Insured carried only $2,000,000, a coinsurance ratio of 92.59% ($2,000,000 / $2,160,000). Per Policy Section 5, the recovery on the $1,150,000 like-kind-and-quality building loss is therefore $1,150,000 x 92.59% = $1,064,815, before the $25,000 per-occurrence Deductible, for a net Building recovery of $1,039,815. Business Personal Property was appraised at $780,000 against $800,000 carried, above the $624,000 required under the 80% test, so no coinsurance penalty applies to Coverage B.</w:t>
      </w:r>
    </w:p>
    <w:p>
      <w:pPr>
        <w:pStyle w:val="Heading1"/>
      </w:pPr>
      <w:r>
        <w:t>5. Ordinance or Law and Debris Removal</w:t>
      </w:r>
    </w:p>
    <w:p>
      <w:r>
        <w:t>The $180,000 code-required fire sprinkler and electrical service upgrade is covered under the Ordinance or Law Coverage Endorsement, which carries a $250,000 sublimit and, per Policy Section 6, is not subject to the Coinsurance Clause. The $180,000 claimed falls within the $250,000 sublimit and is payable in full. Debris removal of $45,000 is payable in full as an Additional Coverage per Policy Section 7, which is likewise not subject to coinsurance or the Deductible.</w:t>
      </w:r>
    </w:p>
    <w:p>
      <w:pPr>
        <w:pStyle w:val="Heading1"/>
      </w:pPr>
      <w:r>
        <w:t>6. Business Income and Extra Expense Calculation</w:t>
      </w:r>
    </w:p>
    <w:p>
      <w:r>
        <w:t>Per Policy Section 8, Business Income is valued on an Actual Loss Sustained basis: the Net Income the business would have earned had no loss occurred, less the Net Income actually earned during the Period of Restoration. The Pre-Loss Monthly Trend in Business_Financial_Statements.xlsx shows $633,000 of actual Net Income in the same seven-month window one year earlier (October 2024 through April 2025), the prior-year comparable period for the Period of Restoration here (October 2025 through April 2026, per the contractor's estimated 7-month completion timeline). Applying the approximately 3% year-over-year growth trend noted in that file produces a projected Net Income of $651,990 had no loss occurred.</w:t>
      </w:r>
    </w:p>
    <w:p>
      <w:r>
        <w:t>The Post-Loss Partial Operations schedule shows the Named Insured resumed limited production at a temporary facility starting in December 2025, earning $145,000 of actual Net Income through April 2026. The Business Income loss is therefore $651,990 minus $145,000, or $506,990.</w:t>
      </w:r>
    </w:p>
    <w:p>
      <w:r>
        <w:t>The Named Insured incurred $95,000 of Extra Expense to establish and operate the temporary facility. That expense enabled $145,000 of Net Income that otherwise would not have been earned, a net benefit to the loss otherwise payable, so it qualifies in full under Policy Section 8's requirement that Extra Expense reduce the loss. Combined Business Income and Extra Expense total $506,990 plus $95,000, or $601,990, against Coverage C's $500,000 combined Limit of Insurance. Per the Declarations, the combined limit caps payment at $500,000, $101,990 less than the amount claimed and less than the amount otherwise calculated under the Actual Loss Sustained method.</w:t>
      </w:r>
    </w:p>
    <w:p>
      <w:pPr>
        <w:pStyle w:val="Heading1"/>
      </w:pPr>
      <w:r>
        <w:t>7. Total Settlement Recommendation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Coverage / Item</w:t>
            </w:r>
          </w:p>
        </w:tc>
        <w:tc>
          <w:tcPr>
            <w:tcW w:type="dxa" w:w="2880"/>
          </w:tcPr>
          <w:p>
            <w:r>
              <w:rPr>
                <w:b/>
              </w:rPr>
              <w:t>Amount Recommended</w:t>
            </w:r>
          </w:p>
        </w:tc>
        <w:tc>
          <w:tcPr>
            <w:tcW w:type="dxa" w:w="2880"/>
          </w:tcPr>
          <w:p>
            <w:r>
              <w:rPr>
                <w:b/>
              </w:rPr>
              <w:t>Basis</w:t>
            </w:r>
          </w:p>
        </w:tc>
      </w:tr>
      <w:tr>
        <w:tc>
          <w:tcPr>
            <w:tcW w:type="dxa" w:w="2880"/>
          </w:tcPr>
          <w:p>
            <w:r>
              <w:t>Building (Coverage A), net of coinsurance and deductible</w:t>
            </w:r>
          </w:p>
        </w:tc>
        <w:tc>
          <w:tcPr>
            <w:tcW w:type="dxa" w:w="2880"/>
          </w:tcPr>
          <w:p>
            <w:r>
              <w:t>$1,039,815</w:t>
            </w:r>
          </w:p>
        </w:tc>
        <w:tc>
          <w:tcPr>
            <w:tcW w:type="dxa" w:w="2880"/>
          </w:tcPr>
          <w:p>
            <w:r>
              <w:t>$1,150,000 LKQ x 92.59% coinsurance ratio, less $25,000 deductible</w:t>
            </w:r>
          </w:p>
        </w:tc>
      </w:tr>
      <w:tr>
        <w:tc>
          <w:tcPr>
            <w:tcW w:type="dxa" w:w="2880"/>
          </w:tcPr>
          <w:p>
            <w:r>
              <w:t>Debris Removal</w:t>
            </w:r>
          </w:p>
        </w:tc>
        <w:tc>
          <w:tcPr>
            <w:tcW w:type="dxa" w:w="2880"/>
          </w:tcPr>
          <w:p>
            <w:r>
              <w:t>$45,000</w:t>
            </w:r>
          </w:p>
        </w:tc>
        <w:tc>
          <w:tcPr>
            <w:tcW w:type="dxa" w:w="2880"/>
          </w:tcPr>
          <w:p>
            <w:r>
              <w:t>Additional Coverage, not subject to coinsurance or deductible</w:t>
            </w:r>
          </w:p>
        </w:tc>
      </w:tr>
      <w:tr>
        <w:tc>
          <w:tcPr>
            <w:tcW w:type="dxa" w:w="2880"/>
          </w:tcPr>
          <w:p>
            <w:r>
              <w:t>Ordinance or Law (code-required upgrades)</w:t>
            </w:r>
          </w:p>
        </w:tc>
        <w:tc>
          <w:tcPr>
            <w:tcW w:type="dxa" w:w="2880"/>
          </w:tcPr>
          <w:p>
            <w:r>
              <w:t>$180,000</w:t>
            </w:r>
          </w:p>
        </w:tc>
        <w:tc>
          <w:tcPr>
            <w:tcW w:type="dxa" w:w="2880"/>
          </w:tcPr>
          <w:p>
            <w:r>
              <w:t>Within $250,000 sublimit; not subject to coinsurance</w:t>
            </w:r>
          </w:p>
        </w:tc>
      </w:tr>
      <w:tr>
        <w:tc>
          <w:tcPr>
            <w:tcW w:type="dxa" w:w="2880"/>
          </w:tcPr>
          <w:p>
            <w:r>
              <w:t>Business Personal Property (Coverage B), Actual Cash Value</w:t>
            </w:r>
          </w:p>
        </w:tc>
        <w:tc>
          <w:tcPr>
            <w:tcW w:type="dxa" w:w="2880"/>
          </w:tcPr>
          <w:p>
            <w:r>
              <w:t>$419,500</w:t>
            </w:r>
          </w:p>
        </w:tc>
        <w:tc>
          <w:tcPr>
            <w:tcW w:type="dxa" w:w="2880"/>
          </w:tcPr>
          <w:p>
            <w:r>
              <w:t>$620,000 RCV less $200,500 depreciation; no coinsurance penalty</w:t>
            </w:r>
          </w:p>
        </w:tc>
      </w:tr>
      <w:tr>
        <w:tc>
          <w:tcPr>
            <w:tcW w:type="dxa" w:w="2880"/>
          </w:tcPr>
          <w:p>
            <w:r>
              <w:t>Business Income and Extra Expense (Coverage C)</w:t>
            </w:r>
          </w:p>
        </w:tc>
        <w:tc>
          <w:tcPr>
            <w:tcW w:type="dxa" w:w="2880"/>
          </w:tcPr>
          <w:p>
            <w:r>
              <w:t>$500,000</w:t>
            </w:r>
          </w:p>
        </w:tc>
        <w:tc>
          <w:tcPr>
            <w:tcW w:type="dxa" w:w="2880"/>
          </w:tcPr>
          <w:p>
            <w:r>
              <w:t>Capped at combined Limit of Insurance ($601,990 calculated)</w:t>
            </w:r>
          </w:p>
        </w:tc>
      </w:tr>
      <w:tr>
        <w:tc>
          <w:tcPr>
            <w:tcW w:type="dxa" w:w="2880"/>
          </w:tcPr>
          <w:p>
            <w:r>
              <w:t>Total Immediate Settlement Recommended</w:t>
            </w:r>
          </w:p>
        </w:tc>
        <w:tc>
          <w:tcPr>
            <w:tcW w:type="dxa" w:w="2880"/>
          </w:tcPr>
          <w:p>
            <w:r>
              <w:t>$2,184,315</w:t>
            </w:r>
          </w:p>
        </w:tc>
        <w:tc>
          <w:tcPr>
            <w:tcW w:type="dxa" w:w="2880"/>
          </w:tcPr>
          <w:p>
            <w:r/>
          </w:p>
        </w:tc>
      </w:tr>
    </w:tbl>
    <w:p/>
    <w:p>
      <w:r>
        <w:t>The claimed amount of $2,596,990 is reduced by $412,675 through application of the Coinsurance Clause to the Building, deferral of $200,500 of Business Personal Property depreciation pending replacement, and the $101,990 amount of Business Income and Extra Expense loss exceeding Coverage C's combined limit.</w:t>
      </w:r>
    </w:p>
    <w:p>
      <w:pPr>
        <w:pStyle w:val="Heading1"/>
      </w:pPr>
      <w:r>
        <w:t>8. Reserve and Payment Recommendation</w:t>
      </w:r>
    </w:p>
    <w:p>
      <w:r>
        <w:t>Recommend issuing immediate payment of $2,184,315. Recommend holding an additional $200,500 in reserve as Recoverable Depreciation on Business Personal Property, payable upon the Named Insured's proof of replacement within 180 days of the October 14, 2025 date of loss, per Policy Section 4. No further reserve is warranted for Business Income and Extra Expense, as the combined Limit of Insurance has been fully exhausted and the $101,990 excess is not recoverable under this policy. Recommend advising the Named Insured in writing that the coinsurance penalty applies notwithstanding its claims history, since the policy provides no basis to waive Section 5 on that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