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Origin and Cause Investigation Report</w:t>
      </w:r>
    </w:p>
    <w:p>
      <w:r>
        <w:t>Prepared for: Heartland Mutual Insurance Company  |  Claim Number: CLM-2025-08841</w:t>
      </w:r>
    </w:p>
    <w:p>
      <w:r>
        <w:t>Investigator: Russell Kagawa, CFI, Bluegrass Forensic Investigations LLC</w:t>
      </w:r>
    </w:p>
    <w:p>
      <w:r>
        <w:t>Date of Inspection: October 17, 2025  |  Report Date: November 3, 2025</w:t>
      </w:r>
    </w:p>
    <w:p>
      <w:pPr>
        <w:pStyle w:val="Heading1"/>
      </w:pPr>
      <w:r>
        <w:t>Scope</w:t>
      </w:r>
    </w:p>
    <w:p>
      <w:r>
        <w:t>This investigation was conducted to determine the origin and cause of the fire at 4410 Ironworks Pike, Elizabethtown, KY, on October 14, 2025, including physical inspection of the structure, review of maintenance and electrical records, and witness interviews.</w:t>
      </w:r>
    </w:p>
    <w:p>
      <w:pPr>
        <w:pStyle w:val="Heading1"/>
      </w:pPr>
      <w:r>
        <w:t>Findings</w:t>
      </w:r>
    </w:p>
    <w:p>
      <w:r>
        <w:t>Physical evidence and burn pattern analysis indicate the fire originated at an electrical subpanel located in the northeast corner of the main production floor. Maintenance records show this subpanel was modified in March 2023 by a third-party electrical contractor to accommodate additional production equipment. The modification did not comply with the applicable electrical code in effect at the time, specifically undersized conductors were installed for the added load.</w:t>
      </w:r>
    </w:p>
    <w:p>
      <w:r>
        <w:t>Over approximately 30 months of operation, the undersized conductors experienced progressive thermal degradation of their insulation. On the date of loss, this degradation resulted in an electrical short that ignited surrounding insulation and combustible debris, and the resulting fire spread rapidly through the production floor and into the roof structure.</w:t>
      </w:r>
    </w:p>
    <w:p>
      <w:r>
        <w:t>No evidence of incendiary origin, flood, or earth movement was identified. No other contributing cause was found.</w:t>
      </w:r>
    </w:p>
    <w:p>
      <w:pPr>
        <w:pStyle w:val="Heading1"/>
      </w:pPr>
      <w:r>
        <w:t>Conclusion</w:t>
      </w:r>
    </w:p>
    <w:p>
      <w:r>
        <w:t>The fire was caused by an electrical short resulting from a 2023 electrical modification that did not meet code. The undersized wiring installation itself was faulty workmanship; the fire that resulted from that faulty workmanship is, in this investigator's opinion, a distinct and independent physical event that spread by ordinary combustion once ignited.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