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Intake and Goals Summary</w:t>
      </w:r>
    </w:p>
    <w:p>
      <w:r>
        <w:t>Pruitt Household  |  Intake Meeting Notes, prepared by the advisory team</w:t>
      </w:r>
    </w:p>
    <w:p>
      <w:pPr>
        <w:pStyle w:val="Heading1"/>
      </w:pPr>
      <w:r>
        <w:t>Household</w:t>
      </w:r>
    </w:p>
    <w:p>
      <w:pPr>
        <w:pStyle w:val="ListBullet"/>
      </w:pPr>
      <w:r>
        <w:t>Daniel Pruitt, age 60, Operations Manager, plans to retire at age 62.</w:t>
      </w:r>
    </w:p>
    <w:p>
      <w:pPr>
        <w:pStyle w:val="ListBullet"/>
      </w:pPr>
      <w:r>
        <w:t>Renee Pruitt, age 60, Office Administrator, plans to retire at the same time as Daniel.</w:t>
      </w:r>
    </w:p>
    <w:p>
      <w:pPr>
        <w:pStyle w:val="ListBullet"/>
      </w:pPr>
      <w:r>
        <w:t>Two adult children, financially independent, not a current support obligation.</w:t>
      </w:r>
    </w:p>
    <w:p>
      <w:pPr>
        <w:pStyle w:val="ListBullet"/>
      </w:pPr>
      <w:r>
        <w:t>Daniel has been with his current employer for 14 years and Renee with hers for 11 years; both have been steadily employed throughout their working years with no significant employment gaps.</w:t>
      </w:r>
    </w:p>
    <w:p>
      <w:pPr>
        <w:pStyle w:val="ListBullet"/>
      </w:pPr>
      <w:r>
        <w:t>The household files federal income taxes as Married Filing Jointly and owns their primary residence outright, with no mortgage balance remaining on the property.</w:t>
      </w:r>
    </w:p>
    <w:p>
      <w:pPr>
        <w:pStyle w:val="ListBullet"/>
      </w:pPr>
      <w:r>
        <w:t>Both spouses report good general health with no known chronic conditions expected to materially affect life expectancy or long-term care needs at this time, though neither has had a formal longevity or health-risk assessment completed.</w:t>
      </w:r>
    </w:p>
    <w:p>
      <w:pPr>
        <w:pStyle w:val="Heading1"/>
      </w:pPr>
      <w:r>
        <w:t>Stated Goals</w:t>
      </w:r>
    </w:p>
    <w:p>
      <w:pPr>
        <w:pStyle w:val="ListBullet"/>
      </w:pPr>
      <w:r>
        <w:t>Retire together when Daniel turns 62, approximately 2 years from today.</w:t>
      </w:r>
    </w:p>
    <w:p>
      <w:pPr>
        <w:pStyle w:val="ListBullet"/>
      </w:pPr>
      <w:r>
        <w:t>Maintain a comfortable but not lavish retirement lifestyle; both are willing to trim discretionary spending somewhat but do not want a dramatic lifestyle reduction.</w:t>
      </w:r>
    </w:p>
    <w:p>
      <w:pPr>
        <w:pStyle w:val="ListBullet"/>
      </w:pPr>
      <w:r>
        <w:t>Both currently lean toward claiming Social Security as soon as they are eligible at 62, "to get something back" after years of paying in, but are open to a recommendation if the numbers say otherwise.</w:t>
      </w:r>
    </w:p>
    <w:p>
      <w:pPr>
        <w:pStyle w:val="ListBullet"/>
      </w:pPr>
      <w:r>
        <w:t>No strong legacy or inheritance goal beyond leaving whatever is left to their children; preserving their own retirement security comes first.</w:t>
      </w:r>
    </w:p>
    <w:p>
      <w:pPr>
        <w:pStyle w:val="ListBullet"/>
      </w:pPr>
      <w:r>
        <w:t>Risk tolerance: moderate. Comfortable with market fluctuation but increasingly want to reduce equity exposure as retirement approaches.</w:t>
      </w:r>
    </w:p>
    <w:p>
      <w:pPr>
        <w:pStyle w:val="ListBullet"/>
      </w:pPr>
      <w:r>
        <w:t>Would like an annual plan review once retired, and a check-in meeting roughly six months before the target retirement date to confirm the plan is still on track before any Social Security claiming decision is finalized.</w:t>
      </w:r>
    </w:p>
    <w:p>
      <w:pPr>
        <w:pStyle w:val="ListBullet"/>
      </w:pPr>
      <w:r>
        <w:t>No immediate plans to relocate; both intend to remain in their current home and state of residence throughout retirement.</w:t>
      </w:r>
    </w:p>
    <w:p>
      <w:pPr>
        <w:pStyle w:val="Heading1"/>
      </w:pPr>
      <w:r>
        <w:t>Firm Reference: Model Portfolio Guidance</w:t>
      </w:r>
    </w:p>
    <w:p>
      <w:r>
        <w:t>For clients within five years of their target retirement date and a moderate risk tolerance, the firm's standard model portfolio target is approximately 55% equities, 40% fixed income, and 5% cash, adjusted for individual circumstances. This is a planning reference point, not a fixed requirement.</w:t>
      </w:r>
    </w:p>
    <w:p>
      <w:r>
        <w:t>The firm's rationale for this glide path is to reduce sequence-of-returns risk in the years immediately before and after retirement begins, when a market decline coinciding with the start of portfolio withdrawals can do disproportionate long-term damage to a plan's sustainability. Individual client circumstances, including other guaranteed income sources, health, and stated risk tolerance, may justify deviating from this reference point in either direction.</w:t>
      </w:r>
    </w:p>
    <w:p>
      <w:pPr>
        <w:pStyle w:val="Heading1"/>
      </w:pPr>
      <w:r>
        <w:t>Planning Assumptions on File</w:t>
      </w:r>
    </w:p>
    <w:p>
      <w:pPr>
        <w:pStyle w:val="ListBullet"/>
      </w:pPr>
      <w:r>
        <w:t>Assumed long-term portfolio growth rate for projection purposes: 6% annually, compounded.</w:t>
      </w:r>
    </w:p>
    <w:p>
      <w:pPr>
        <w:pStyle w:val="ListBullet"/>
      </w:pPr>
      <w:r>
        <w:t>Assumed general inflation rate for expense projections: 3% annually.</w:t>
      </w:r>
    </w:p>
    <w:p>
      <w:pPr>
        <w:pStyle w:val="ListBullet"/>
      </w:pPr>
      <w:r>
        <w:t>Combined ongoing retirement account and brokerage contributions until retirement: $3,100 per month.</w:t>
      </w:r>
    </w:p>
    <w:p>
      <w:pPr>
        <w:pStyle w:val="ListBullet"/>
      </w:pPr>
      <w:r>
        <w:t>Sustainable withdrawal planning uses an initial 4% withdrawal rate of the portfolio balance at retirement as the firm's standard quick-screen sustainability test for a 30-year retirement horizon, with the withdrawal amount then adjusted for inflation in later years.</w:t>
      </w:r>
    </w:p>
    <w:p>
      <w:pPr>
        <w:pStyle w:val="ListBullet"/>
      </w:pPr>
      <w:r>
        <w:t>Applying the 4% screen when a self-funded bridge period comes first: where a plan has the client living entirely off the portfolio for some years before Social Security begins, the screen is applied at the point ongoing steady-state withdrawals begin, that is, to the projected portfolio balance on the date Social Security income starts, with each bridge year's drawdown modeled explicitly year by year beforehand. Treating a temporary, elevated bridge-year withdrawal as though it were the permanent withdrawal rate would misstate the sustainability of what is by definition a temporary funding gap. The 30-year horizon continues to be measured from the retirement date, so applying the 4% rate at a later screen date is conservative relative to the horizon actually remaining at that date.</w:t>
      </w:r>
    </w:p>
    <w:p>
      <w:pPr>
        <w:pStyle w:val="ListBullet"/>
      </w:pPr>
      <w:r>
        <w:t>Social Security benefit estimates on file are stated in today's dollars. Consistent with the assumptions above, project them forward using the same 3% inflation assumption used for expenses, so that projected benefits and projected spending are compared on the same nominal-dollar basis at each future date rather than mixing today's-dollar and inflated figures.</w:t>
      </w:r>
    </w:p>
    <w:p>
      <w:pPr>
        <w:pStyle w:val="ListBullet"/>
      </w:pPr>
      <w:r>
        <w:t>Portfolio growth continues to apply during any self-funded bridge period before Social Security or Medicare begins; do not assume the portfolio stops growing simply because it is being drawn down for living expenses.</w:t>
      </w:r>
    </w:p>
    <w:p>
      <w:pPr>
        <w:pStyle w:val="ListBullet"/>
      </w:pPr>
      <w:r>
        <w:t>These assumptions are reviewed annually and were last confirmed with the household at the most recent meeting; they should be treated as the firm's current planning defaults for this household unless a specific client circumstance calls for a different figure.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