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Insurance and Estate Planning Summary</w:t>
      </w:r>
    </w:p>
    <w:p>
      <w:r>
        <w:t>Pruitt Household  |  Prepared from client-provided policy documents and intake interview</w:t>
      </w:r>
    </w:p>
    <w:p>
      <w:pPr>
        <w:pStyle w:val="Heading1"/>
      </w:pPr>
      <w:r>
        <w:t>Life Insurance</w:t>
      </w:r>
    </w:p>
    <w:p>
      <w:pPr>
        <w:pStyle w:val="ListBullet"/>
      </w:pPr>
      <w:r>
        <w:t>Daniel Pruitt: 20-year level term life policy, $500,000 face amount, purchased 2014, term expires when Daniel turns 68 (2034). No conversion to permanent coverage has been elected.</w:t>
      </w:r>
    </w:p>
    <w:p>
      <w:pPr>
        <w:pStyle w:val="ListBullet"/>
      </w:pPr>
      <w:r>
        <w:t>The policy premium is level for the full 20-year term and is billed monthly; it is one component of the household's combined $380 monthly insurance budget line, alongside auto and umbrella coverage. Because the premium is level, it will not increase before the policy expires.</w:t>
      </w:r>
    </w:p>
    <w:p>
      <w:pPr>
        <w:pStyle w:val="ListBullet"/>
      </w:pPr>
      <w:r>
        <w:t>Renee Pruitt: Employer-provided group term life, 1x salary ($72,000), coverage ends at retirement/separation from employer. Renee enrolled in this coverage at hire and has never elected supplemental employee-paid coverage above the base 1x-salary amount.</w:t>
      </w:r>
    </w:p>
    <w:p>
      <w:pPr>
        <w:pStyle w:val="ListBullet"/>
      </w:pPr>
      <w:r>
        <w:t>The group policy is not portable and carries no individual conversion option, meaning Renee will have no life insurance coverage of any kind from the day her employment ends, unless new coverage is separately purchased before then.</w:t>
      </w:r>
    </w:p>
    <w:p>
      <w:pPr>
        <w:pStyle w:val="Heading1"/>
      </w:pPr>
      <w:r>
        <w:t>Long-Term Care Insurance</w:t>
      </w:r>
    </w:p>
    <w:p>
      <w:pPr>
        <w:pStyle w:val="ListBullet"/>
      </w:pPr>
      <w:r>
        <w:t>Neither Daniel nor Renee currently holds a long-term care insurance policy. Both have declined LTC coverage in the past due to premium cost.</w:t>
      </w:r>
    </w:p>
    <w:p>
      <w:pPr>
        <w:pStyle w:val="ListBullet"/>
      </w:pPr>
      <w:r>
        <w:t>The household last obtained LTC quotes approximately five years ago and found the premiums, at their then-current ages, more than they were willing to commit to at the time. Premiums for comparable coverage are materially higher now given their current ages and have not been re-quoted since.</w:t>
      </w:r>
    </w:p>
    <w:p>
      <w:pPr>
        <w:pStyle w:val="ListBullet"/>
      </w:pPr>
      <w:r>
        <w:t>No hybrid life/LTC or asset-based LTC rider products have been evaluated for this household to date.</w:t>
      </w:r>
    </w:p>
    <w:p>
      <w:pPr>
        <w:pStyle w:val="Heading1"/>
      </w:pPr>
      <w:r>
        <w:t>Health Insurance</w:t>
      </w:r>
    </w:p>
    <w:p>
      <w:pPr>
        <w:pStyle w:val="ListBullet"/>
      </w:pPr>
      <w:r>
        <w:t>Both are currently covered under Daniel's employer group health plan. This coverage ends upon Daniel's retirement. Neither spouse is eligible for Medicare until age 65.</w:t>
      </w:r>
    </w:p>
    <w:p>
      <w:pPr>
        <w:pStyle w:val="ListBullet"/>
      </w:pPr>
      <w:r>
        <w:t>A current quote for ACA marketplace or COBRA continuation coverage for the household runs approximately $1,800 per month combined until Medicare eligibility. This is the figure carried into the household budget workbook as the health insurance bridge cost, stated there as the expected monthly cost during each of the ages 62 through 64 bridge years.</w:t>
      </w:r>
    </w:p>
    <w:p>
      <w:pPr>
        <w:pStyle w:val="ListBullet"/>
      </w:pPr>
      <w:r>
        <w:t>COBRA continuation, where available, is generally limited to 18 months and is typically more expensive than an ACA marketplace plan once any employer subsidy ends, so the household should compare both options formally in the months leading up to Daniel's actual retirement date rather than relying on today's preliminary quote.</w:t>
      </w:r>
    </w:p>
    <w:p>
      <w:pPr>
        <w:pStyle w:val="ListBullet"/>
      </w:pPr>
      <w:r>
        <w:t>Once Medicare eligibility begins at 65, household income in the two prior tax years can affect Medicare Part B and Part D premiums through the income-related monthly adjustment amount; this should be considered when planning the size and timing of any pre-65 portfolio withdrawals.</w:t>
      </w:r>
    </w:p>
    <w:p>
      <w:pPr>
        <w:pStyle w:val="Heading1"/>
      </w:pPr>
      <w:r>
        <w:t>Property and Liability Insurance</w:t>
      </w:r>
    </w:p>
    <w:p>
      <w:pPr>
        <w:pStyle w:val="ListBullet"/>
      </w:pPr>
      <w:r>
        <w:t>The household carries standard homeowners coverage on their primary residence and auto coverage on both vehicles, along with a personal umbrella liability policy; combined premiums for these policies make up the remainder of the $380 monthly insurance budget line alongside Daniel's term life premium.</w:t>
      </w:r>
    </w:p>
    <w:p>
      <w:pPr>
        <w:pStyle w:val="ListBullet"/>
      </w:pPr>
      <w:r>
        <w:t>No specific gaps have been identified in the property and liability coverage at this time.</w:t>
      </w:r>
    </w:p>
    <w:p>
      <w:pPr>
        <w:pStyle w:val="Heading1"/>
      </w:pPr>
      <w:r>
        <w:t>Estate Documents</w:t>
      </w:r>
    </w:p>
    <w:p>
      <w:pPr>
        <w:pStyle w:val="ListBullet"/>
      </w:pPr>
      <w:r>
        <w:t>Wills: Both have basic wills executed in 2011, naming each other as primary beneficiary and their two adult children as contingent beneficiaries. Not reviewed or updated since.</w:t>
      </w:r>
    </w:p>
    <w:p>
      <w:pPr>
        <w:pStyle w:val="ListBullet"/>
      </w:pPr>
      <w:r>
        <w:t>The wills were drafted by outside estate counsel at the time and each spouse is named as the other's executor, with their elder child named as successor executor. Neither spouse has confirmed with counsel whether this arrangement still reflects their current wishes.</w:t>
      </w:r>
    </w:p>
    <w:p>
      <w:pPr>
        <w:pStyle w:val="ListBullet"/>
      </w:pPr>
      <w:r>
        <w:t>Beneficiary designations on file with account custodians (401(k), 403(b), Roth IRA) are consistent with the wills and were last confirmed in 2019.</w:t>
      </w:r>
    </w:p>
    <w:p>
      <w:pPr>
        <w:pStyle w:val="ListBullet"/>
      </w:pPr>
      <w:r>
        <w:t>No trust structures are in place. None have previously been recommended, as the household's estate has not been evaluated against current estate and gift tax thresholds since the wills were drafted.</w:t>
      </w:r>
    </w:p>
    <w:p>
      <w:pPr>
        <w:pStyle w:val="ListBullet"/>
      </w:pPr>
      <w:r>
        <w:t>No power of attorney or healthcare directive documents are on file with this office. Without these documents, a court-supervised guardianship or conservatorship proceeding could be required if either spouse became incapacitated and unable to manage their own financial or medical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