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ACQUISITION ANNOUNCEMENT DRAFT</w:t>
      </w:r>
    </w:p>
    <w:p>
      <w:pPr>
        <w:jc w:val="center"/>
      </w:pPr>
      <w:r>
        <w:rPr>
          <w:i/>
          <w:sz w:val="22"/>
        </w:rPr>
        <w:t>Internal Memo — strictly confidential</w:t>
      </w:r>
    </w:p>
    <w:p/>
    <w:p>
      <w:pPr>
        <w:pStyle w:val="IntenseQuote"/>
      </w:pPr>
      <w:r>
        <w:t>To: All Employees</w:t>
        <w:br/>
        <w:t>From: Executive Team</w:t>
        <w:br/>
        <w:t>Date: September 8, 2026</w:t>
        <w:br/>
        <w:t>Subject: Welcome HealthSync to Titan Holdings!</w:t>
      </w:r>
    </w:p>
    <w:p>
      <w:r>
        <w:t>We are thrilled to announce the successful acquisition of HealthSync Inc. This merger expands our cloud integration capabilities and brings a talented new team into the Titan family. By combining HealthSync's cutting-edge healthcare analytics platform with Titan's robust enterprise infrastructure, we are uniquely positioned to deliver unprecedented value to our clients. The strategic synergies unlocked by this acquisition will accelerate our product roadmap by an estimated 18 months and immediately increase our market share in the booming digital health sector.</w:t>
      </w:r>
    </w:p>
    <w:p>
      <w:r>
        <w:t>Our CEO stated earlier today: 'This is a monumental milestone for Titan Holdings. The team at HealthSync shares our vision for secure, scalable, and intuitive enterprise solutions. We look forward to seeing what we can build together.'</w:t>
      </w:r>
    </w:p>
    <w:p>
      <w:pPr>
        <w:pStyle w:val="Heading1"/>
      </w:pPr>
      <w:r>
        <w:t>Integration Timeline</w:t>
      </w:r>
    </w:p>
    <w:p>
      <w:r>
        <w:t>Effective immediately, HealthSync services will begin migrating to Titan's infrastructure. We anticipate full integration by Q1 2027. This ambitious timeline underscores our commitment to realizing the strategic benefits of this merger as swiftly as possible.</w:t>
      </w:r>
    </w:p>
    <w:p>
      <w:r>
        <w:t>Phase 1 of the integration will focus heavily on aligning our compliance and security protocols. HealthSync has built an incredible platform, and our priority is ensuring that its infrastructure meets Titan's rigorous data privacy standards, particularly regarding GDPR compliance. Over the next 30 days, the unified engineering and operations teams will conduct parallel run exercises to validate the migration paths for our most critical customer data streams.</w:t>
      </w:r>
    </w:p>
    <w:p>
      <w:r>
        <w:t>During this transition, customer success and account management teams will undergo joint training sessions to ensure a seamless experience for all clients. We have established a dedicated internal portal where you can track the integration progress, find FAQs regarding organizational changes, and submit any questions directly to the integration steering committee.</w:t>
      </w:r>
    </w:p>
    <w:p>
      <w:pPr>
        <w:pStyle w:val="Heading1"/>
      </w:pPr>
      <w:r>
        <w:t>Known Integration Quirks</w:t>
      </w:r>
    </w:p>
    <w:p>
      <w:r>
        <w:t>During the due diligence process, we identified a few minor integration quirks that our engineering teams will be ironing out over the next few weeks. These include:</w:t>
      </w:r>
    </w:p>
    <w:p>
      <w:pPr>
        <w:pStyle w:val="ListBullet"/>
      </w:pPr>
      <w:r>
        <w:rPr>
          <w:b/>
        </w:rPr>
        <w:t xml:space="preserve">VULN-0014: </w:t>
      </w:r>
      <w:r>
        <w:t>PDF exports from legacy reports may have truncated headers.</w:t>
      </w:r>
    </w:p>
    <w:p>
      <w:pPr>
        <w:pStyle w:val="ListBullet"/>
      </w:pPr>
      <w:r>
        <w:rPr>
          <w:b/>
        </w:rPr>
        <w:t xml:space="preserve">VULN-0024: </w:t>
      </w:r>
      <w:r>
        <w:t>The customer search autocomplete might flicker slightly on slower connections.</w:t>
      </w:r>
    </w:p>
    <w:p>
      <w:pPr>
        <w:pStyle w:val="ListBullet"/>
      </w:pPr>
      <w:r>
        <w:rPr>
          <w:b/>
        </w:rPr>
        <w:t xml:space="preserve">VULN-0037: </w:t>
      </w:r>
      <w:r>
        <w:t>Executive dashboard timeouts may occasionally cause unsaved notes to be lost. (We recommend saving your work frequently during this transition period).</w:t>
      </w:r>
    </w:p>
    <w:p>
      <w:pPr>
        <w:pStyle w:val="ListBullet"/>
      </w:pPr>
      <w:r>
        <w:rPr>
          <w:b/>
        </w:rPr>
        <w:t xml:space="preserve">VULN-0049: </w:t>
      </w:r>
      <w:r>
        <w:t>The login page background image might take an extra second to load on your first visit.</w:t>
      </w:r>
    </w:p>
    <w:p>
      <w:pPr>
        <w:pStyle w:val="Heading1"/>
      </w:pPr>
      <w:r>
        <w:t>What this means for you</w:t>
      </w:r>
    </w:p>
    <w:p>
      <w:r>
        <w:t>No immediate action is required on your part. Your manager will provide department-specific updates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