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TITAN HOLDINGS M&amp;A</w:t>
      </w:r>
    </w:p>
    <w:p>
      <w:pPr>
        <w:jc w:val="center"/>
      </w:pPr>
      <w:r>
        <w:rPr>
          <w:b/>
          <w:sz w:val="28"/>
        </w:rPr>
        <w:t>Due Diligence Evaluation Policy</w:t>
      </w:r>
    </w:p>
    <w:p/>
    <w:p>
      <w:pPr>
        <w:pStyle w:val="IntenseQuote"/>
      </w:pPr>
      <w:r>
        <w:t>Document ID: SOP-MNA-042</w:t>
        <w:br/>
        <w:t>Effective Date: Jan 1, 2026</w:t>
        <w:br/>
        <w:t>Owner: Corporate Compliance Office</w:t>
      </w:r>
    </w:p>
    <w:p>
      <w:pPr>
        <w:pStyle w:val="Heading1"/>
      </w:pPr>
      <w:r>
        <w:t>1. Purpose and Scope</w:t>
      </w:r>
    </w:p>
    <w:p>
      <w:r>
        <w:t>This Standard Operating Procedure (SOP) defines the mandatory due diligence criteria that must be met before finalizing the acquisition of a target company's IT infrastructure. It provides objective rules for classifying vulnerabilities, evaluating compliance gaps, and determining if the deal can proceed (Go, No-Go, or Conditional Go). The scope of this document covers all software systems, network components, cloud infrastructure, and data processing workflows evaluated during the M&amp;A diligence phase.</w:t>
      </w:r>
    </w:p>
    <w:p>
      <w:pPr>
        <w:pStyle w:val="Heading2"/>
      </w:pPr>
      <w:r>
        <w:t>1.1 Definitions</w:t>
      </w:r>
    </w:p>
    <w:p>
      <w:r>
        <w:t>• Target Company: The entity being acquired.</w:t>
        <w:br/>
        <w:t>• QA Auditor: The designated Titan Holdings Quality Assurance lead responsible for the diligence report.</w:t>
        <w:br/>
        <w:t>• Target IT: The IT department of the Target Company.</w:t>
        <w:br/>
        <w:t>• Vulnerability: Any software defect, misconfiguration, or architectural flaw that introduces operational, security, or compliance risk.</w:t>
        <w:br/>
        <w:t>• Effective Severity: The finalized severity rating assigned to a vulnerability after applying the conflict resolution rules outlined in Section 3.</w:t>
      </w:r>
    </w:p>
    <w:p>
      <w:pPr>
        <w:pStyle w:val="Heading2"/>
      </w:pPr>
      <w:r>
        <w:t>1.2 Responsibilities</w:t>
      </w:r>
    </w:p>
    <w:p>
      <w:r>
        <w:t>The Corporate Compliance Office is responsible for maintaining this SOP. The QA Auditor is responsible for applying these rules to the raw testing data and producing the final Technical Due Diligence Assessment. The CISO and VP of Engineering hold specific risk-acceptance authorities as detailed in Sections 4.4 and 4.5. All assessments must be documented and retained for a minimum of 7 years in accordance with our corporate data retention policy.</w:t>
      </w:r>
    </w:p>
    <w:p>
      <w:pPr>
        <w:pStyle w:val="Heading2"/>
      </w:pPr>
      <w:r>
        <w:t>1.3 Auditing Procedures</w:t>
      </w:r>
    </w:p>
    <w:p>
      <w:r>
        <w:t>Auditors must rely exclusively on verified vulnerability scans, official integration pilot logs, stress test reports generated by the QA team, and formal compliance checklists. Anecdotal evidence, informal assurances from Target IT, or draft public relations memos shall not be used to override objective technical findings. Any discrepancies between engineering data and executive communications must be explicitly flagged in the final report.</w:t>
      </w:r>
    </w:p>
    <w:p>
      <w:pPr>
        <w:pStyle w:val="Heading1"/>
      </w:pPr>
      <w:r>
        <w:t>2. Deal Proceed Types</w:t>
      </w:r>
    </w:p>
    <w:p>
      <w:r>
        <w:rPr>
          <w:b/>
        </w:rPr>
        <w:t xml:space="preserve">GO: </w:t>
      </w:r>
      <w:r>
        <w:t>All mandatory criteria are met. No unresolved blocking vulnerabilities or critical compliance gaps.</w:t>
        <w:br/>
      </w:r>
      <w:r>
        <w:rPr>
          <w:b/>
        </w:rPr>
        <w:t xml:space="preserve">CONDITIONAL GO: </w:t>
      </w:r>
      <w:r>
        <w:t>Mandatory criteria are largely met, but specific, actionable conditions exist (e.g., a vulnerability fix must be implemented within a specific timeframe post-acquisition). Conditions must have owners and deadlines.</w:t>
        <w:br/>
      </w:r>
      <w:r>
        <w:rPr>
          <w:b/>
        </w:rPr>
        <w:t xml:space="preserve">NO-GO: </w:t>
      </w:r>
      <w:r>
        <w:t>One or more mandatory deal-breakers are not met, and no immediate remediation is possible.</w:t>
      </w:r>
    </w:p>
    <w:p>
      <w:pPr>
        <w:pStyle w:val="Heading1"/>
      </w:pPr>
      <w:r>
        <w:t>3. Vulnerability Severity Conflict Resolution</w:t>
      </w:r>
    </w:p>
    <w:p>
      <w:r>
        <w:rPr>
          <w:b/>
        </w:rPr>
        <w:t xml:space="preserve">Policy 3.1: </w:t>
      </w:r>
      <w:r>
        <w:t xml:space="preserve">During due diligence, our Internal Auditors and the Target Company's IT department may assign different severity ratings to the same vulnerability. </w:t>
      </w:r>
      <w:r>
        <w:rPr>
          <w:i/>
        </w:rPr>
        <w:t>In all such cases, the HIGHER severity rating must be applied as the "effective severity" for the final assessment.</w:t>
      </w:r>
    </w:p>
    <w:p>
      <w:r>
        <w:t>Example: If Internal Audit rates a bug as 'Critical' and Target IT rates it as 'Minor', the effective severity for the assessment is 'Critical'.</w:t>
      </w:r>
    </w:p>
    <w:p>
      <w:pPr>
        <w:pStyle w:val="Heading1"/>
      </w:pPr>
      <w:r>
        <w:t>4. Mandatory Due Diligence Criteria</w:t>
      </w:r>
    </w:p>
    <w:p>
      <w:r>
        <w:t>The following criteria must be evaluated. Failure to meet these criteria constitutes a deal-breaker unless a formal waiver is obtained.</w:t>
      </w:r>
    </w:p>
    <w:p>
      <w:pPr>
        <w:pStyle w:val="ListBullet"/>
      </w:pPr>
      <w:r>
        <w:rPr>
          <w:b/>
        </w:rPr>
        <w:t xml:space="preserve">4.4.a Compliance with GDPR: </w:t>
      </w:r>
      <w:r>
        <w:t>All GDPR Technical Safeguard controls must be rated as 'Met'.</w:t>
      </w:r>
    </w:p>
    <w:p>
      <w:pPr>
        <w:pStyle w:val="ListBullet"/>
      </w:pPr>
      <w:r>
        <w:rPr>
          <w:b/>
        </w:rPr>
        <w:t xml:space="preserve">4.4.b Partially Met Controls: </w:t>
      </w:r>
      <w:r>
        <w:t>Controls rated as 'Partially Met' are acceptable for a Conditional Go ONLY IF a remediation plan is in place to fix the underlying vulnerability within 30 calendar days post-acquisition.</w:t>
      </w:r>
    </w:p>
    <w:p>
      <w:pPr>
        <w:pStyle w:val="ListBullet"/>
      </w:pPr>
      <w:r>
        <w:rPr>
          <w:b/>
        </w:rPr>
        <w:t xml:space="preserve">4.4.c Not Met Controls: </w:t>
      </w:r>
      <w:r>
        <w:t>Any control rated as 'Not Met' is an automatic deal-breaker (NO-GO) unless a formal written waiver is provided by the CISO prior to the Board Review.</w:t>
      </w:r>
    </w:p>
    <w:p>
      <w:pPr>
        <w:pStyle w:val="ListBullet"/>
      </w:pPr>
      <w:r>
        <w:rPr>
          <w:b/>
        </w:rPr>
        <w:t xml:space="preserve">4.5.a SLA Thresholds: </w:t>
      </w:r>
      <w:r>
        <w:t>Infrastructure stress tests must meet the target SLA thresholds at the P50 and P95 percentiles.</w:t>
      </w:r>
    </w:p>
    <w:p>
      <w:pPr>
        <w:pStyle w:val="ListBullet"/>
      </w:pPr>
      <w:r>
        <w:rPr>
          <w:b/>
        </w:rPr>
        <w:t xml:space="preserve">4.5.b P99 SLA Failures: </w:t>
      </w:r>
      <w:r>
        <w:t>If an SLA metric fails at the P99 percentile, the deal may proceed as a Conditional Go only if formal written risk acceptance is obtained from the VP of Engineering.</w:t>
      </w:r>
    </w:p>
    <w:p>
      <w:pPr>
        <w:pStyle w:val="ListBullet"/>
      </w:pPr>
      <w:r>
        <w:rPr>
          <w:b/>
        </w:rPr>
        <w:t xml:space="preserve">4.5.c Test Environment Capacity: </w:t>
      </w:r>
      <w:r>
        <w:t>Stress test results are only considered fully valid if the test environment was provisioned to at least 80% of target production capacity. If the environment is &lt;80% capacity, all SLA results are considered provisional and must be flagged as an integration risk.</w:t>
      </w:r>
    </w:p>
    <w:p>
      <w:pPr>
        <w:pStyle w:val="Heading1"/>
      </w:pPr>
      <w:r>
        <w:t>5. Critical Vulnerability Remediation</w:t>
      </w:r>
    </w:p>
    <w:p>
      <w:r>
        <w:t>Any vulnerability with an effective severity of 'Blocker' must be resolved prior to the Board Review. Vulnerabilities with an effective severity of 'Critical' must be resolved or have a documented mitigation plan approved by the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