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2"/>
        </w:rPr>
        <w:t>PROJECT TITAN (HEALTHSYNC ACQUISITION)</w:t>
      </w:r>
    </w:p>
    <w:p>
      <w:pPr>
        <w:jc w:val="center"/>
      </w:pPr>
      <w:r>
        <w:rPr>
          <w:b/>
          <w:sz w:val="28"/>
        </w:rPr>
        <w:t>GDPR Technical Safeguard Compliance Audit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Target Company: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HealthSync Inc.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Assessment Period: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August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Auditor: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Diane Kowalski, M&amp;A Compliance Officer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Reviewed by: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Priya Deshpande, CISO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Document Status: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DRAFT — Pending Board Review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Date: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August 22,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Distribution: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M&amp;A Integration Committee</w:t>
            </w:r>
          </w:p>
        </w:tc>
      </w:tr>
    </w:tbl>
    <w:p/>
    <w:p>
      <w:r>
        <w:t>This document assesses HealthSync's infrastructure against applicable GDPR Technical Safeguard requirements (Art 32). Controls are evaluated as Met, Partially Met, Not Met, or N/A.</w:t>
      </w:r>
    </w:p>
    <w:p/>
    <w:p>
      <w:r>
        <w:rPr>
          <w:b/>
          <w:color w:val="1F497D"/>
          <w:sz w:val="26"/>
        </w:rPr>
        <w:t>1. Access Controls (AC-1 through AC-12)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Control ID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Control Description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Requirement Source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Evidence / Reference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Remediation Plan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Target Date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AC-1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Unique user identification — assign a unique name/number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32(1)(b)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All users assigned unique IDs via Active Directory integration.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AC-2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Emergency access procedure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32(1)(c)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Break-glass procedure documented. Tested quarterly. Last test: July 2026.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AC-3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Access control lists — role-based access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32(1)(b)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RBAC verified across all modules. 14 role definitions.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AC-4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Minimum necessary access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25(2)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Role-based data filtering active.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AC-5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Multi-factor authentication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32(1)(b)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MFA enforced via Okta for all admin roles.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AC-6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Access authorization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Approval workflow through ServiceNow. Quarterly access reviews.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AC-7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Audit controls — record and examine activity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Partially 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Audit logging active for all existing modules. New PII export workflow has gaps in user-action-level audit detail. See VULN-0019.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VULN-0019 fix targeted for Sept 2.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2026-09-02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AC-8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Access termination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Automated deprovisioning via HR system integration. 24-hour SLA.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AC-9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Workforce clearance procedures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Administrative safeguard — not applicable to software technical assessment.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AC-10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Password management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Password policy enforced: 12+ chars, complexity, 90-day rotation.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AC-11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Failed login attempt lockout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Account lockout after 5 failed attempts.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AC-12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Session activity logging for PII access events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All PII access events logged with user ID.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r>
        <w:rPr>
          <w:b/>
          <w:color w:val="1F497D"/>
          <w:sz w:val="26"/>
        </w:rPr>
        <w:t>2. Audit Controls (AU-1 through AU-8)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Control ID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Control Description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Requirement Source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Evidence / Reference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Remediation Plan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Target Date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AU-1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Audit log generation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Centralized logging via ELK stack.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AU-2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Audit log protection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Write-once log storage on S3 with versioning.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AU-3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Audit log retention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7-year retention policy configured.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AU-4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Audit log completeness for PII access events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Partially 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98% complete. New concurrent-access scenario has gaps under high-concurrency conditions. See VULN-0023.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Fix in progress. Miguel Santos owning.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2026-09-04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AU-5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Audit log review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Weekly automated scan + monthly manual review.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AU-6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Audit log alerting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PagerDuty integration for critical events.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AU-7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Time synchronization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NTP synchronization across all servers.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AU-8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Audit trail for PII modifications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Full CRUD audit trail for customer records.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r>
        <w:rPr>
          <w:b/>
          <w:color w:val="1F497D"/>
          <w:sz w:val="26"/>
        </w:rPr>
        <w:t>3. Integrity Controls (IN-1 through IN-6)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Control ID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Control Description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Requirement Source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Evidence / Reference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Remediation Plan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Target Date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IN-1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Data integrity verification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SHA-256 checksums on all PII data at rest and in transit.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IN-2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Error correcting procedures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Automated corruption detection.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IN-3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Input validation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Server-side validation on all PII fields.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IN-4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Data backup integrity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Daily backup integrity checks.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IN-5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Database referential integrity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Foreign key constraints active.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IN-6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Data migration integrity verification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Migration scripts include pre/post row counts.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r>
        <w:rPr>
          <w:b/>
          <w:color w:val="1F497D"/>
          <w:sz w:val="26"/>
        </w:rPr>
        <w:t>4. Transmission Security (TS-1 through TS-7)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Control ID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Control Description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Requirement Source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Evidence / Reference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Remediation Plan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Target Date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TS-1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Encryption in transit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32(1)(a)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TLS 1.3 enforced for all external connections.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TS-2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Integrity controls for transmitted PII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HMAC-SHA256 message authentication.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TS-3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VPN or encrypted tunnel for remote access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AWS PrivateLink and WireGuard VPN active.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TS-4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Certificate management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Auto-renewal via ACM.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TS-5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API authentication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OAuth 2.0 PKCE for all API endpoints.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TS-6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Secure transmission for PII exchange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Encrypted transport used for all PII.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TS-7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Email encryption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System does not include email-based PII transmission.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r>
        <w:rPr>
          <w:b/>
          <w:color w:val="1F497D"/>
          <w:sz w:val="26"/>
        </w:rPr>
        <w:t>5. Session Controls (SC-1 through SC-12)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Control ID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Control Description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Requirement Source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Evidence / Reference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Remediation Plan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Target Date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SC-1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Session establishment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Sessions created via OAuth 2.0 flow.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SC-2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Session encryption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32(1)(a)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Session tokens encrypted.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SC-3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Session token rotation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Token refreshed on role change.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SC-4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Concurrent session control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Maximum 3 concurrent sessions per user.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SC-5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Session data isolation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Server-side session storage with isolation.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SC-6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Session token invalidation on logout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Server-side token revocation on logout.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SC-7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Session fixation prevention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New session ID generated on authentication.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SC-8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Cross-site request forgery protection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CSRF tokens on all state-changing operations.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SC-9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Session activity monitoring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32(1)(d)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Unusual session patterns flagged and logged.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SC-10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Automatic logoff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Not 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Auto session timeout not enforced on new executive dashboard. Existing modules compliant. See VULN-0031.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VULN-0031 — Fix requires frontend + backend coordination.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2026-09-06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SC-11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Session timeout configuration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Timeout configurable.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SC-12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Secure session termination on close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GDPR Art 32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Browser close behavior is client-dependent.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