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2AAA"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Pr>
          <w:rFonts w:ascii="Arial" w:eastAsia="Times New Roman" w:hAnsi="Arial" w:cs="Arial"/>
          <w:b/>
          <w:bCs/>
          <w:kern w:val="0"/>
          <w:sz w:val="36"/>
          <w:szCs w:val="36"/>
          <w:lang w:eastAsia="en-IN" w:bidi="hi-IN"/>
        </w:rPr>
        <w:t xml:space="preserve">DIGITAL LITERACY CASE STUDY </w:t>
      </w:r>
    </w:p>
    <w:p w14:paraId="49A4B597" w14:textId="77777777" w:rsidR="00743C25" w:rsidRPr="00743C25" w:rsidRDefault="00743C25" w:rsidP="00743C25">
      <w:pPr>
        <w:spacing w:after="100" w:afterAutospacing="1" w:line="240" w:lineRule="auto"/>
        <w:outlineLvl w:val="1"/>
        <w:rPr>
          <w:rFonts w:ascii="Arial" w:eastAsia="Times New Roman" w:hAnsi="Arial" w:cs="Arial"/>
          <w:b/>
          <w:bCs/>
          <w:kern w:val="0"/>
          <w:sz w:val="44"/>
          <w:szCs w:val="44"/>
          <w:u w:val="single"/>
          <w:lang w:eastAsia="en-IN" w:bidi="hi-IN"/>
        </w:rPr>
      </w:pPr>
      <w:r w:rsidRPr="00743C25">
        <w:rPr>
          <w:rFonts w:ascii="Arial" w:eastAsia="Times New Roman" w:hAnsi="Arial" w:cs="Arial"/>
          <w:b/>
          <w:bCs/>
          <w:kern w:val="0"/>
          <w:sz w:val="44"/>
          <w:szCs w:val="44"/>
          <w:u w:val="single"/>
          <w:lang w:eastAsia="en-IN" w:bidi="hi-IN"/>
        </w:rPr>
        <w:t>HARSHVARDHAN</w:t>
      </w:r>
      <w:r>
        <w:rPr>
          <w:rFonts w:ascii="Arial" w:eastAsia="Times New Roman" w:hAnsi="Arial" w:cs="Arial"/>
          <w:b/>
          <w:bCs/>
          <w:kern w:val="0"/>
          <w:sz w:val="44"/>
          <w:szCs w:val="44"/>
          <w:u w:val="single"/>
          <w:lang w:eastAsia="en-IN" w:bidi="hi-IN"/>
        </w:rPr>
        <w:t xml:space="preserve"> </w:t>
      </w:r>
      <w:r w:rsidRPr="00743C25">
        <w:rPr>
          <w:rFonts w:ascii="Arial" w:eastAsia="Times New Roman" w:hAnsi="Arial" w:cs="Arial"/>
          <w:b/>
          <w:bCs/>
          <w:kern w:val="0"/>
          <w:sz w:val="44"/>
          <w:szCs w:val="44"/>
          <w:u w:val="single"/>
          <w:lang w:eastAsia="en-IN" w:bidi="hi-IN"/>
        </w:rPr>
        <w:t>(25BCG10017)</w:t>
      </w:r>
    </w:p>
    <w:p w14:paraId="4ED7492E"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341F560F" w14:textId="77777777" w:rsidR="00743C25" w:rsidRP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sidRPr="00743C25">
        <w:rPr>
          <w:rFonts w:ascii="Arial" w:eastAsia="Times New Roman" w:hAnsi="Arial" w:cs="Arial"/>
          <w:b/>
          <w:bCs/>
          <w:kern w:val="0"/>
          <w:sz w:val="36"/>
          <w:szCs w:val="36"/>
          <w:lang w:eastAsia="en-IN" w:bidi="hi-IN"/>
        </w:rPr>
        <w:t>Section A: Establish the Context</w:t>
      </w:r>
    </w:p>
    <w:p w14:paraId="313549F4"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Focus:</w:t>
      </w:r>
      <w:r w:rsidRPr="00743C25">
        <w:rPr>
          <w:rFonts w:ascii="Arial" w:eastAsia="Times New Roman" w:hAnsi="Arial" w:cs="Arial"/>
          <w:kern w:val="0"/>
          <w:lang w:eastAsia="en-IN" w:bidi="hi-IN"/>
        </w:rPr>
        <w:t xml:space="preserve"> The illusion of digital competence.</w:t>
      </w:r>
    </w:p>
    <w:p w14:paraId="6462DA93" w14:textId="77777777" w:rsidR="00743C25" w:rsidRPr="00743C25" w:rsidRDefault="00743C25" w:rsidP="00743C25">
      <w:pPr>
        <w:numPr>
          <w:ilvl w:val="0"/>
          <w:numId w:val="1"/>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Underlying Gap:</w:t>
      </w:r>
      <w:r w:rsidRPr="00743C25">
        <w:rPr>
          <w:rFonts w:ascii="Arial" w:eastAsia="Times New Roman" w:hAnsi="Arial" w:cs="Arial"/>
          <w:kern w:val="0"/>
          <w:lang w:eastAsia="en-IN" w:bidi="hi-IN"/>
        </w:rPr>
        <w:t xml:space="preserve"> Explain that modern students are highly active in digital environments but often lack an understanding of how these systems truly function. Digital literacy is frequently mistaken for simply knowing how to operate tools (like applying Canva templates or using drag-and-drop interfaces) rather than understanding the consequences of digital actions, data privacy, or copyright issues.</w:t>
      </w:r>
    </w:p>
    <w:p w14:paraId="3F681770" w14:textId="77777777" w:rsidR="00743C25" w:rsidRPr="00743C25" w:rsidRDefault="00743C25" w:rsidP="00743C25">
      <w:pPr>
        <w:numPr>
          <w:ilvl w:val="0"/>
          <w:numId w:val="1"/>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Illusion of Competence:</w:t>
      </w:r>
      <w:r w:rsidRPr="00743C25">
        <w:rPr>
          <w:rFonts w:ascii="Arial" w:eastAsia="Times New Roman" w:hAnsi="Arial" w:cs="Arial"/>
          <w:kern w:val="0"/>
          <w:lang w:eastAsia="en-IN" w:bidi="hi-IN"/>
        </w:rPr>
        <w:t xml:space="preserve"> The widespread availability of platforms prioritizes ease of use and convenience, which inadvertently reduces the need for critical thinking. Students become consumers of convenience, assuming that because a presentation looks visually appealing, they possess deep digital skills.</w:t>
      </w:r>
    </w:p>
    <w:p w14:paraId="1757FBF5" w14:textId="77777777" w:rsidR="00743C25" w:rsidRPr="00743C25" w:rsidRDefault="00743C25" w:rsidP="00743C25">
      <w:pPr>
        <w:numPr>
          <w:ilvl w:val="0"/>
          <w:numId w:val="1"/>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Participation vs. Literacy:</w:t>
      </w:r>
      <w:r w:rsidRPr="00743C25">
        <w:rPr>
          <w:rFonts w:ascii="Arial" w:eastAsia="Times New Roman" w:hAnsi="Arial" w:cs="Arial"/>
          <w:kern w:val="0"/>
          <w:lang w:eastAsia="en-IN" w:bidi="hi-IN"/>
        </w:rPr>
        <w:t xml:space="preserve"> Conclude by defining the difference: participation is merely using platforms to communicate or complete tasks, whereas true digital literacy demands awareness, reflection, and a strong sense of responsibility regarding the impact and risks of those actions.</w:t>
      </w:r>
    </w:p>
    <w:p w14:paraId="2569986F"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5F09972A" w14:textId="77777777" w:rsidR="00743C25" w:rsidRP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sidRPr="00743C25">
        <w:rPr>
          <w:rFonts w:ascii="Arial" w:eastAsia="Times New Roman" w:hAnsi="Arial" w:cs="Arial"/>
          <w:b/>
          <w:bCs/>
          <w:kern w:val="0"/>
          <w:sz w:val="36"/>
          <w:szCs w:val="36"/>
          <w:lang w:eastAsia="en-IN" w:bidi="hi-IN"/>
        </w:rPr>
        <w:t>Section B: Digital Identity and Ethics</w:t>
      </w:r>
    </w:p>
    <w:p w14:paraId="0DF912FB"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Focus:</w:t>
      </w:r>
      <w:r w:rsidRPr="00743C25">
        <w:rPr>
          <w:rFonts w:ascii="Arial" w:eastAsia="Times New Roman" w:hAnsi="Arial" w:cs="Arial"/>
          <w:kern w:val="0"/>
          <w:lang w:eastAsia="en-IN" w:bidi="hi-IN"/>
        </w:rPr>
        <w:t xml:space="preserve"> Visibility vs. Competence.</w:t>
      </w:r>
    </w:p>
    <w:p w14:paraId="2759F02A" w14:textId="77777777" w:rsidR="00743C25" w:rsidRPr="00743C25" w:rsidRDefault="00743C25" w:rsidP="00743C25">
      <w:pPr>
        <w:numPr>
          <w:ilvl w:val="0"/>
          <w:numId w:val="2"/>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Illusion of Equal Opportunity:</w:t>
      </w:r>
      <w:r w:rsidRPr="00743C25">
        <w:rPr>
          <w:rFonts w:ascii="Arial" w:eastAsia="Times New Roman" w:hAnsi="Arial" w:cs="Arial"/>
          <w:kern w:val="0"/>
          <w:lang w:eastAsia="en-IN" w:bidi="hi-IN"/>
        </w:rPr>
        <w:t xml:space="preserve"> While digital platforms supposedly democratize opportunities by letting anyone showcase their skills, this ideal falls short in practice. Platforms like LinkedIn, GitHub, and Kaggle do not inherently distinguish between deep expertise and surface-level familiarity.</w:t>
      </w:r>
    </w:p>
    <w:p w14:paraId="405F51F3" w14:textId="77777777" w:rsidR="00743C25" w:rsidRPr="00743C25" w:rsidRDefault="00743C25" w:rsidP="00743C25">
      <w:pPr>
        <w:numPr>
          <w:ilvl w:val="0"/>
          <w:numId w:val="2"/>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Performance Over Authenticity:</w:t>
      </w:r>
      <w:r w:rsidRPr="00743C25">
        <w:rPr>
          <w:rFonts w:ascii="Arial" w:eastAsia="Times New Roman" w:hAnsi="Arial" w:cs="Arial"/>
          <w:kern w:val="0"/>
          <w:lang w:eastAsia="en-IN" w:bidi="hi-IN"/>
        </w:rPr>
        <w:t xml:space="preserve"> Because everything appears equally credible when formatted well, students are incentivized to prioritize visibility over genuine competence. Learning becomes secondary to presentation.</w:t>
      </w:r>
    </w:p>
    <w:p w14:paraId="23D7B730" w14:textId="77777777" w:rsidR="00743C25" w:rsidRPr="00743C25" w:rsidRDefault="00743C25" w:rsidP="00743C25">
      <w:pPr>
        <w:numPr>
          <w:ilvl w:val="0"/>
          <w:numId w:val="2"/>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Ethics of Misrepresentation:</w:t>
      </w:r>
      <w:r w:rsidRPr="00743C25">
        <w:rPr>
          <w:rFonts w:ascii="Arial" w:eastAsia="Times New Roman" w:hAnsi="Arial" w:cs="Arial"/>
          <w:kern w:val="0"/>
          <w:lang w:eastAsia="en-IN" w:bidi="hi-IN"/>
        </w:rPr>
        <w:t xml:space="preserve"> Argue whether posting incomplete code or exaggerating skills is unethical or just an accepted survival tactic in a competitive market. You can argue that while it is normalized, it fundamentally undermines trust.</w:t>
      </w:r>
    </w:p>
    <w:p w14:paraId="259B7319" w14:textId="77777777" w:rsidR="00743C25" w:rsidRPr="00743C25" w:rsidRDefault="00743C25" w:rsidP="00743C25">
      <w:pPr>
        <w:numPr>
          <w:ilvl w:val="0"/>
          <w:numId w:val="2"/>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Digital Permanence:</w:t>
      </w:r>
      <w:r w:rsidRPr="00743C25">
        <w:rPr>
          <w:rFonts w:ascii="Arial" w:eastAsia="Times New Roman" w:hAnsi="Arial" w:cs="Arial"/>
          <w:kern w:val="0"/>
          <w:lang w:eastAsia="en-IN" w:bidi="hi-IN"/>
        </w:rPr>
        <w:t xml:space="preserve"> Address the permanent nature of digital records. Unlike classroom mistakes, early ignorance—such as poorly written code or exaggerated claims—remains visible to future recruiters. Take a firm stance on whether students should be held accountable for early digital footprints.</w:t>
      </w:r>
    </w:p>
    <w:p w14:paraId="579B4492"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7AA2819B"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47531F14" w14:textId="77777777" w:rsidR="00743C25" w:rsidRP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sidRPr="00743C25">
        <w:rPr>
          <w:rFonts w:ascii="Arial" w:eastAsia="Times New Roman" w:hAnsi="Arial" w:cs="Arial"/>
          <w:b/>
          <w:bCs/>
          <w:kern w:val="0"/>
          <w:sz w:val="36"/>
          <w:szCs w:val="36"/>
          <w:lang w:eastAsia="en-IN" w:bidi="hi-IN"/>
        </w:rPr>
        <w:t>Section C: Collaboration vs. Misuse</w:t>
      </w:r>
    </w:p>
    <w:p w14:paraId="5ADC2133"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Focus:</w:t>
      </w:r>
      <w:r w:rsidRPr="00743C25">
        <w:rPr>
          <w:rFonts w:ascii="Arial" w:eastAsia="Times New Roman" w:hAnsi="Arial" w:cs="Arial"/>
          <w:kern w:val="0"/>
          <w:lang w:eastAsia="en-IN" w:bidi="hi-IN"/>
        </w:rPr>
        <w:t xml:space="preserve"> Shared platforms and accountability.</w:t>
      </w:r>
    </w:p>
    <w:p w14:paraId="49F280B0" w14:textId="77777777" w:rsidR="00743C25" w:rsidRPr="00743C25" w:rsidRDefault="00743C25" w:rsidP="00743C25">
      <w:pPr>
        <w:numPr>
          <w:ilvl w:val="0"/>
          <w:numId w:val="3"/>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Enhancement vs. Dependency:</w:t>
      </w:r>
      <w:r w:rsidRPr="00743C25">
        <w:rPr>
          <w:rFonts w:ascii="Arial" w:eastAsia="Times New Roman" w:hAnsi="Arial" w:cs="Arial"/>
          <w:kern w:val="0"/>
          <w:lang w:eastAsia="en-IN" w:bidi="hi-IN"/>
        </w:rPr>
        <w:t xml:space="preserve"> Acknowledge the strong argument for digital collaboration: tools like Google Docs work flawlessly to remove communication barriers and version conflicts, speeding up the exchange of ideas.</w:t>
      </w:r>
    </w:p>
    <w:p w14:paraId="773FADA3" w14:textId="77777777" w:rsidR="00743C25" w:rsidRPr="00743C25" w:rsidRDefault="00743C25" w:rsidP="00743C25">
      <w:pPr>
        <w:numPr>
          <w:ilvl w:val="0"/>
          <w:numId w:val="3"/>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Ambiguous Boundary:</w:t>
      </w:r>
      <w:r w:rsidRPr="00743C25">
        <w:rPr>
          <w:rFonts w:ascii="Arial" w:eastAsia="Times New Roman" w:hAnsi="Arial" w:cs="Arial"/>
          <w:kern w:val="0"/>
          <w:lang w:eastAsia="en-IN" w:bidi="hi-IN"/>
        </w:rPr>
        <w:t xml:space="preserve"> Contrast this by pointing out that these same platforms quietly enable the avoidance of accountability. When individual effort isn't immediately visible, the boundary between collaborative learning and academic dishonesty (like copying content) becomes incredibly blurred.</w:t>
      </w:r>
    </w:p>
    <w:p w14:paraId="60F52DEA" w14:textId="77777777" w:rsidR="00743C25" w:rsidRPr="00743C25" w:rsidRDefault="00743C25" w:rsidP="00743C25">
      <w:pPr>
        <w:numPr>
          <w:ilvl w:val="0"/>
          <w:numId w:val="3"/>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Learning Gap:</w:t>
      </w:r>
      <w:r w:rsidRPr="00743C25">
        <w:rPr>
          <w:rFonts w:ascii="Arial" w:eastAsia="Times New Roman" w:hAnsi="Arial" w:cs="Arial"/>
          <w:kern w:val="0"/>
          <w:lang w:eastAsia="en-IN" w:bidi="hi-IN"/>
        </w:rPr>
        <w:t xml:space="preserve"> Conclude that digital collaboration can produce highly polished outputs and secure good marks without ensuring that all group members achieve meaningful understanding.</w:t>
      </w:r>
    </w:p>
    <w:p w14:paraId="38EF52D5"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504993A3"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31B1C163"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0B54BF65"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4D3F43A8" w14:textId="77777777" w:rsidR="00743C25" w:rsidRP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sidRPr="00743C25">
        <w:rPr>
          <w:rFonts w:ascii="Arial" w:eastAsia="Times New Roman" w:hAnsi="Arial" w:cs="Arial"/>
          <w:b/>
          <w:bCs/>
          <w:kern w:val="0"/>
          <w:sz w:val="36"/>
          <w:szCs w:val="36"/>
          <w:lang w:eastAsia="en-IN" w:bidi="hi-IN"/>
        </w:rPr>
        <w:t>Section D: Cyber Awareness and Responsibility</w:t>
      </w:r>
    </w:p>
    <w:p w14:paraId="0F136631"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Focus:</w:t>
      </w:r>
      <w:r w:rsidRPr="00743C25">
        <w:rPr>
          <w:rFonts w:ascii="Arial" w:eastAsia="Times New Roman" w:hAnsi="Arial" w:cs="Arial"/>
          <w:kern w:val="0"/>
          <w:lang w:eastAsia="en-IN" w:bidi="hi-IN"/>
        </w:rPr>
        <w:t xml:space="preserve"> Behavior vs. Knowledge in cyber security.</w:t>
      </w:r>
    </w:p>
    <w:p w14:paraId="76441753" w14:textId="77777777" w:rsidR="00743C25" w:rsidRPr="00743C25" w:rsidRDefault="00743C25" w:rsidP="00743C25">
      <w:pPr>
        <w:numPr>
          <w:ilvl w:val="0"/>
          <w:numId w:val="4"/>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Why Scams Succeed:</w:t>
      </w:r>
      <w:r w:rsidRPr="00743C25">
        <w:rPr>
          <w:rFonts w:ascii="Arial" w:eastAsia="Times New Roman" w:hAnsi="Arial" w:cs="Arial"/>
          <w:kern w:val="0"/>
          <w:lang w:eastAsia="en-IN" w:bidi="hi-IN"/>
        </w:rPr>
        <w:t xml:space="preserve"> Explain that phishing and identity theft succeed not because of total ignorance, but because users prioritize opportunity over caution and act quickly without verifying. In high-pressure situations, knowledge does not always translate into safe behavior.</w:t>
      </w:r>
    </w:p>
    <w:p w14:paraId="2D3FCDD4" w14:textId="77777777" w:rsidR="00743C25" w:rsidRPr="00743C25" w:rsidRDefault="00743C25" w:rsidP="00743C25">
      <w:pPr>
        <w:numPr>
          <w:ilvl w:val="0"/>
          <w:numId w:val="4"/>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Shared Responsibility:</w:t>
      </w:r>
      <w:r w:rsidRPr="00743C25">
        <w:rPr>
          <w:rFonts w:ascii="Arial" w:eastAsia="Times New Roman" w:hAnsi="Arial" w:cs="Arial"/>
          <w:kern w:val="0"/>
          <w:lang w:eastAsia="en-IN" w:bidi="hi-IN"/>
        </w:rPr>
        <w:t xml:space="preserve"> Address the systemic side of the issue. Digital platforms are deliberately designed to reward immediate action and create a sense of urgency. Attackers simply exploit these built-in behavioral triggers.</w:t>
      </w:r>
    </w:p>
    <w:p w14:paraId="03C80F77" w14:textId="77777777" w:rsidR="00743C25" w:rsidRPr="00743C25" w:rsidRDefault="00743C25" w:rsidP="00743C25">
      <w:pPr>
        <w:numPr>
          <w:ilvl w:val="0"/>
          <w:numId w:val="4"/>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Evaluating Preventive Measures:</w:t>
      </w:r>
      <w:r w:rsidRPr="00743C25">
        <w:rPr>
          <w:rFonts w:ascii="Arial" w:eastAsia="Times New Roman" w:hAnsi="Arial" w:cs="Arial"/>
          <w:kern w:val="0"/>
          <w:lang w:eastAsia="en-IN" w:bidi="hi-IN"/>
        </w:rPr>
        <w:t xml:space="preserve"> Argue that current preventive measures (like basic awareness programs) are insufficient because cyber safety is not a one-time lesson; it must be cultivated as a continuous habit of questioning.</w:t>
      </w:r>
    </w:p>
    <w:p w14:paraId="2D060CB7"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5C22A311" w14:textId="77777777" w:rsidR="00743C25" w:rsidRP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sidRPr="00743C25">
        <w:rPr>
          <w:rFonts w:ascii="Arial" w:eastAsia="Times New Roman" w:hAnsi="Arial" w:cs="Arial"/>
          <w:b/>
          <w:bCs/>
          <w:kern w:val="0"/>
          <w:sz w:val="36"/>
          <w:szCs w:val="36"/>
          <w:lang w:eastAsia="en-IN" w:bidi="hi-IN"/>
        </w:rPr>
        <w:lastRenderedPageBreak/>
        <w:t>Section E: Communication and Digital Etiquette</w:t>
      </w:r>
    </w:p>
    <w:p w14:paraId="37D6B42B"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Focus:</w:t>
      </w:r>
      <w:r w:rsidRPr="00743C25">
        <w:rPr>
          <w:rFonts w:ascii="Arial" w:eastAsia="Times New Roman" w:hAnsi="Arial" w:cs="Arial"/>
          <w:kern w:val="0"/>
          <w:lang w:eastAsia="en-IN" w:bidi="hi-IN"/>
        </w:rPr>
        <w:t xml:space="preserve"> Informal habits bleeding into formal spaces.</w:t>
      </w:r>
    </w:p>
    <w:p w14:paraId="42CAAC2A" w14:textId="77777777" w:rsidR="00743C25" w:rsidRPr="00743C25" w:rsidRDefault="00743C25" w:rsidP="00743C25">
      <w:pPr>
        <w:numPr>
          <w:ilvl w:val="0"/>
          <w:numId w:val="5"/>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Blurring of Boundaries:</w:t>
      </w:r>
      <w:r w:rsidRPr="00743C25">
        <w:rPr>
          <w:rFonts w:ascii="Arial" w:eastAsia="Times New Roman" w:hAnsi="Arial" w:cs="Arial"/>
          <w:kern w:val="0"/>
          <w:lang w:eastAsia="en-IN" w:bidi="hi-IN"/>
        </w:rPr>
        <w:t xml:space="preserve"> Students are conditioned by instant messaging to write short, rapid, and informal exchanges. When these automatic habits carry over into emails to faculty or employers, the communication is often perceived as careless, abrupt, and unprofessional.</w:t>
      </w:r>
    </w:p>
    <w:p w14:paraId="743B993A" w14:textId="77777777" w:rsidR="00743C25" w:rsidRPr="00743C25" w:rsidRDefault="00743C25" w:rsidP="00743C25">
      <w:pPr>
        <w:numPr>
          <w:ilvl w:val="0"/>
          <w:numId w:val="5"/>
        </w:numPr>
        <w:spacing w:after="100" w:afterAutospacing="1" w:line="240" w:lineRule="auto"/>
        <w:rPr>
          <w:rFonts w:ascii="Arial" w:eastAsia="Times New Roman" w:hAnsi="Arial" w:cs="Arial"/>
          <w:kern w:val="0"/>
          <w:lang w:eastAsia="en-IN" w:bidi="hi-IN"/>
        </w:rPr>
      </w:pPr>
      <w:r w:rsidRPr="00743C25">
        <w:rPr>
          <w:rFonts w:ascii="Arial" w:eastAsia="Times New Roman" w:hAnsi="Arial" w:cs="Arial"/>
          <w:b/>
          <w:bCs/>
          <w:kern w:val="0"/>
          <w:lang w:eastAsia="en-IN" w:bidi="hi-IN"/>
        </w:rPr>
        <w:t>The Cost of Miscommunication:</w:t>
      </w:r>
      <w:r w:rsidRPr="00743C25">
        <w:rPr>
          <w:rFonts w:ascii="Arial" w:eastAsia="Times New Roman" w:hAnsi="Arial" w:cs="Arial"/>
          <w:kern w:val="0"/>
          <w:lang w:eastAsia="en-IN" w:bidi="hi-IN"/>
        </w:rPr>
        <w:t xml:space="preserve"> Defend the idea that individuals </w:t>
      </w:r>
      <w:r w:rsidRPr="00743C25">
        <w:rPr>
          <w:rFonts w:ascii="Arial" w:eastAsia="Times New Roman" w:hAnsi="Arial" w:cs="Arial"/>
          <w:i/>
          <w:iCs/>
          <w:kern w:val="0"/>
          <w:lang w:eastAsia="en-IN" w:bidi="hi-IN"/>
        </w:rPr>
        <w:t>should</w:t>
      </w:r>
      <w:r w:rsidRPr="00743C25">
        <w:rPr>
          <w:rFonts w:ascii="Arial" w:eastAsia="Times New Roman" w:hAnsi="Arial" w:cs="Arial"/>
          <w:kern w:val="0"/>
          <w:lang w:eastAsia="en-IN" w:bidi="hi-IN"/>
        </w:rPr>
        <w:t xml:space="preserve"> be judged on their digital communication style in professional contexts. An email reflects attitude, attention to detail, and respect for the recipient.</w:t>
      </w:r>
    </w:p>
    <w:p w14:paraId="2D723B56"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125B1010"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4A83E3AB" w14:textId="77777777" w:rsid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p>
    <w:p w14:paraId="40C1F741" w14:textId="77777777" w:rsidR="00743C25" w:rsidRPr="00743C25" w:rsidRDefault="00743C25" w:rsidP="00743C25">
      <w:pPr>
        <w:spacing w:after="100" w:afterAutospacing="1" w:line="240" w:lineRule="auto"/>
        <w:outlineLvl w:val="1"/>
        <w:rPr>
          <w:rFonts w:ascii="Arial" w:eastAsia="Times New Roman" w:hAnsi="Arial" w:cs="Arial"/>
          <w:b/>
          <w:bCs/>
          <w:kern w:val="0"/>
          <w:sz w:val="36"/>
          <w:szCs w:val="36"/>
          <w:lang w:eastAsia="en-IN" w:bidi="hi-IN"/>
        </w:rPr>
      </w:pPr>
      <w:r w:rsidRPr="00743C25">
        <w:rPr>
          <w:rFonts w:ascii="Arial" w:eastAsia="Times New Roman" w:hAnsi="Arial" w:cs="Arial"/>
          <w:b/>
          <w:bCs/>
          <w:kern w:val="0"/>
          <w:sz w:val="36"/>
          <w:szCs w:val="36"/>
          <w:lang w:eastAsia="en-IN" w:bidi="hi-IN"/>
        </w:rPr>
        <w:t>Section F: Reflection (Suggested Personal Draft)</w:t>
      </w:r>
    </w:p>
    <w:p w14:paraId="6C37542C"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i/>
          <w:iCs/>
          <w:kern w:val="0"/>
          <w:lang w:eastAsia="en-IN" w:bidi="hi-IN"/>
        </w:rPr>
        <w:t>Note: Make this section highly personal so it reads authentically.</w:t>
      </w:r>
    </w:p>
    <w:p w14:paraId="21A51AD7" w14:textId="77777777" w:rsidR="00743C25" w:rsidRPr="00743C25" w:rsidRDefault="00743C25" w:rsidP="00743C25">
      <w:pPr>
        <w:spacing w:after="100" w:afterAutospacing="1" w:line="240" w:lineRule="auto"/>
        <w:rPr>
          <w:rFonts w:ascii="Arial" w:eastAsia="Times New Roman" w:hAnsi="Arial" w:cs="Arial"/>
          <w:kern w:val="0"/>
          <w:lang w:eastAsia="en-IN" w:bidi="hi-IN"/>
        </w:rPr>
      </w:pPr>
      <w:r w:rsidRPr="00743C25">
        <w:rPr>
          <w:rFonts w:ascii="Arial" w:eastAsia="Times New Roman" w:hAnsi="Arial" w:cs="Arial"/>
          <w:kern w:val="0"/>
          <w:lang w:eastAsia="en-IN" w:bidi="hi-IN"/>
        </w:rPr>
        <w:t>"Before engaging with this case study, my understanding of digital literacy was largely technical. I assumed that because I was actively learning tools like Python, exploring Machine Learning concepts, and studying Prolog, I was inherently digitally literate. However, my recent academic experiences—such as receiving a 4 out of 50 on a Python midterm—served as a stark reality check. It mirrored Arjun’s situation perfectly: I realized that engaging with syntax, tools, or creating profiles doesn't automatically equate to deep, foundational understanding. What made me uncomfortable in this case study was recognizing my own tendency to prioritize fast outputs over genuine comprehension. Moving forward, the one aspect of my digital behavior I plan to change is slowing down. Whether I am writing an email, debugging code, or evaluating an online opportunity, I need to shift from reflexive, habit-driven actions to deliberate, conscious decision-making."</w:t>
      </w:r>
    </w:p>
    <w:p w14:paraId="56037183" w14:textId="77777777" w:rsidR="00BB274A" w:rsidRPr="00743C25" w:rsidRDefault="00BB274A">
      <w:pPr>
        <w:rPr>
          <w:lang w:val="en-US"/>
        </w:rPr>
      </w:pPr>
    </w:p>
    <w:sectPr w:rsidR="00BB274A" w:rsidRPr="00743C25" w:rsidSect="00BB27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42A75" w14:textId="77777777" w:rsidR="0055317F" w:rsidRDefault="0055317F" w:rsidP="00743C25">
      <w:pPr>
        <w:spacing w:after="0" w:line="240" w:lineRule="auto"/>
      </w:pPr>
      <w:r>
        <w:separator/>
      </w:r>
    </w:p>
  </w:endnote>
  <w:endnote w:type="continuationSeparator" w:id="0">
    <w:p w14:paraId="36B80060" w14:textId="77777777" w:rsidR="0055317F" w:rsidRDefault="0055317F" w:rsidP="00743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4D7FF" w14:textId="77777777" w:rsidR="0055317F" w:rsidRDefault="0055317F" w:rsidP="00743C25">
      <w:pPr>
        <w:spacing w:after="0" w:line="240" w:lineRule="auto"/>
      </w:pPr>
      <w:r>
        <w:separator/>
      </w:r>
    </w:p>
  </w:footnote>
  <w:footnote w:type="continuationSeparator" w:id="0">
    <w:p w14:paraId="078C2F00" w14:textId="77777777" w:rsidR="0055317F" w:rsidRDefault="0055317F" w:rsidP="00743C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94449"/>
    <w:multiLevelType w:val="multilevel"/>
    <w:tmpl w:val="B780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F6750"/>
    <w:multiLevelType w:val="multilevel"/>
    <w:tmpl w:val="70EA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B4F5C"/>
    <w:multiLevelType w:val="multilevel"/>
    <w:tmpl w:val="6948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950BE"/>
    <w:multiLevelType w:val="multilevel"/>
    <w:tmpl w:val="9410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14A27"/>
    <w:multiLevelType w:val="multilevel"/>
    <w:tmpl w:val="F35E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375856">
    <w:abstractNumId w:val="1"/>
  </w:num>
  <w:num w:numId="2" w16cid:durableId="510409787">
    <w:abstractNumId w:val="0"/>
  </w:num>
  <w:num w:numId="3" w16cid:durableId="1318920278">
    <w:abstractNumId w:val="4"/>
  </w:num>
  <w:num w:numId="4" w16cid:durableId="1879123417">
    <w:abstractNumId w:val="3"/>
  </w:num>
  <w:num w:numId="5" w16cid:durableId="1073773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C25"/>
    <w:rsid w:val="000168C6"/>
    <w:rsid w:val="0055317F"/>
    <w:rsid w:val="00743C25"/>
    <w:rsid w:val="00834056"/>
    <w:rsid w:val="00886AD7"/>
    <w:rsid w:val="00BB274A"/>
    <w:rsid w:val="00C45723"/>
    <w:rsid w:val="00E03D67"/>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EB10"/>
  <w15:chartTrackingRefBased/>
  <w15:docId w15:val="{235825C2-2995-4E47-8567-1888629F6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74A"/>
  </w:style>
  <w:style w:type="paragraph" w:styleId="Heading1">
    <w:name w:val="heading 1"/>
    <w:basedOn w:val="Normal"/>
    <w:next w:val="Normal"/>
    <w:link w:val="Heading1Char"/>
    <w:uiPriority w:val="9"/>
    <w:qFormat/>
    <w:rsid w:val="00743C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C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C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C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C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C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C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C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C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C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C25"/>
    <w:rPr>
      <w:rFonts w:eastAsiaTheme="majorEastAsia" w:cstheme="majorBidi"/>
      <w:color w:val="272727" w:themeColor="text1" w:themeTint="D8"/>
    </w:rPr>
  </w:style>
  <w:style w:type="paragraph" w:styleId="Title">
    <w:name w:val="Title"/>
    <w:basedOn w:val="Normal"/>
    <w:next w:val="Normal"/>
    <w:link w:val="TitleChar"/>
    <w:uiPriority w:val="10"/>
    <w:qFormat/>
    <w:rsid w:val="00743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C25"/>
    <w:pPr>
      <w:spacing w:before="160"/>
      <w:jc w:val="center"/>
    </w:pPr>
    <w:rPr>
      <w:i/>
      <w:iCs/>
      <w:color w:val="404040" w:themeColor="text1" w:themeTint="BF"/>
    </w:rPr>
  </w:style>
  <w:style w:type="character" w:customStyle="1" w:styleId="QuoteChar">
    <w:name w:val="Quote Char"/>
    <w:basedOn w:val="DefaultParagraphFont"/>
    <w:link w:val="Quote"/>
    <w:uiPriority w:val="29"/>
    <w:rsid w:val="00743C25"/>
    <w:rPr>
      <w:i/>
      <w:iCs/>
      <w:color w:val="404040" w:themeColor="text1" w:themeTint="BF"/>
    </w:rPr>
  </w:style>
  <w:style w:type="paragraph" w:styleId="ListParagraph">
    <w:name w:val="List Paragraph"/>
    <w:basedOn w:val="Normal"/>
    <w:uiPriority w:val="34"/>
    <w:qFormat/>
    <w:rsid w:val="00743C25"/>
    <w:pPr>
      <w:ind w:left="720"/>
      <w:contextualSpacing/>
    </w:pPr>
  </w:style>
  <w:style w:type="character" w:styleId="IntenseEmphasis">
    <w:name w:val="Intense Emphasis"/>
    <w:basedOn w:val="DefaultParagraphFont"/>
    <w:uiPriority w:val="21"/>
    <w:qFormat/>
    <w:rsid w:val="00743C25"/>
    <w:rPr>
      <w:i/>
      <w:iCs/>
      <w:color w:val="2F5496" w:themeColor="accent1" w:themeShade="BF"/>
    </w:rPr>
  </w:style>
  <w:style w:type="paragraph" w:styleId="IntenseQuote">
    <w:name w:val="Intense Quote"/>
    <w:basedOn w:val="Normal"/>
    <w:next w:val="Normal"/>
    <w:link w:val="IntenseQuoteChar"/>
    <w:uiPriority w:val="30"/>
    <w:qFormat/>
    <w:rsid w:val="00743C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C25"/>
    <w:rPr>
      <w:i/>
      <w:iCs/>
      <w:color w:val="2F5496" w:themeColor="accent1" w:themeShade="BF"/>
    </w:rPr>
  </w:style>
  <w:style w:type="character" w:styleId="IntenseReference">
    <w:name w:val="Intense Reference"/>
    <w:basedOn w:val="DefaultParagraphFont"/>
    <w:uiPriority w:val="32"/>
    <w:qFormat/>
    <w:rsid w:val="00743C25"/>
    <w:rPr>
      <w:b/>
      <w:bCs/>
      <w:smallCaps/>
      <w:color w:val="2F5496" w:themeColor="accent1" w:themeShade="BF"/>
      <w:spacing w:val="5"/>
    </w:rPr>
  </w:style>
  <w:style w:type="paragraph" w:styleId="Header">
    <w:name w:val="header"/>
    <w:basedOn w:val="Normal"/>
    <w:link w:val="HeaderChar"/>
    <w:uiPriority w:val="99"/>
    <w:unhideWhenUsed/>
    <w:rsid w:val="00743C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3C25"/>
  </w:style>
  <w:style w:type="paragraph" w:styleId="Footer">
    <w:name w:val="footer"/>
    <w:basedOn w:val="Normal"/>
    <w:link w:val="FooterChar"/>
    <w:uiPriority w:val="99"/>
    <w:unhideWhenUsed/>
    <w:rsid w:val="00743C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C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828</Words>
  <Characters>4721</Characters>
  <Application>Microsoft Office Word</Application>
  <DocSecurity>0</DocSecurity>
  <Lines>39</Lines>
  <Paragraphs>11</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Harshvardhan Khichar</cp:lastModifiedBy>
  <cp:revision>1</cp:revision>
  <dcterms:created xsi:type="dcterms:W3CDTF">2026-03-24T18:06:00Z</dcterms:created>
  <dcterms:modified xsi:type="dcterms:W3CDTF">2026-03-24T18:06:00Z</dcterms:modified>
</cp:coreProperties>
</file>