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Aptos" w:cs="Calibri" w:eastAsia="Calibri" w:hAnsi="Aptos"/>
          <w:b/>
          <w:bCs/>
          <w:color w:val="1F3864"/>
          <w:sz w:val="52"/>
          <w:szCs w:val="52"/>
        </w:rPr>
        <w:t xml:space="preserve">WEEK 1 PROJECT PLAN</w:t>
      </w:r>
    </w:p>
    <w:p>
      <w:pPr>
        <w:spacing w:after="400"/>
        <w:jc w:val="center"/>
      </w:pPr>
      <w:r>
        <w:rPr>
          <w:rFonts w:ascii="Aptos" w:cs="Calibri" w:eastAsia="Calibri" w:hAnsi="Aptos"/>
          <w:color w:val="44546A"/>
          <w:sz w:val="30"/>
          <w:szCs w:val="30"/>
        </w:rPr>
        <w:t xml:space="preserve">Data Acquisition &amp; Preliminary Analysis Planning</w:t>
      </w:r>
    </w:p>
    <w:p>
      <w:pPr>
        <w:pBdr>
          <w:top w:val="single" w:color="2E5395" w:sz="6" w:space="8"/>
        </w:pBdr>
        <w:spacing w:after="60"/>
        <w:jc w:val="center"/>
      </w:pPr>
      <w:r>
        <w:rPr>
          <w:rFonts w:ascii="Aptos" w:hAnsi="Aptos"/>
        </w:rPr>
        <w:t xml:space="preserve"/>
      </w:r>
    </w:p>
    <w:p>
      <w:pPr>
        <w:spacing w:after="60" w:before="400"/>
        <w:jc w:val="center"/>
      </w:pPr>
      <w:r>
        <w:rPr>
          <w:rFonts w:ascii="Aptos" w:cs="Calibri" w:eastAsia="Calibri" w:hAnsi="Aptos"/>
          <w:color w:val="44546A"/>
          <w:sz w:val="24"/>
          <w:szCs w:val="24"/>
        </w:rPr>
        <w:t xml:space="preserve">Junior Data Analyst — Financial Analytics with Python</w:t>
      </w:r>
    </w:p>
    <w:p>
      <w:pPr>
        <w:spacing w:after="700"/>
        <w:jc w:val="center"/>
      </w:pPr>
      <w:r>
        <w:rPr>
          <w:rFonts w:ascii="Aptos" w:cs="Calibri" w:eastAsia="Calibri" w:hAnsi="Aptos"/>
          <w:color w:val="44546A"/>
          <w:sz w:val="22"/>
          <w:szCs w:val="22"/>
        </w:rPr>
        <w:t xml:space="preserve">Internship Period: 07-Aug-2026 to 04-Sep-2026  |  Week 1 Deliverable</w:t>
      </w:r>
    </w:p>
    <w:p>
      <w:pPr>
        <w:spacing w:after="40"/>
        <w:jc w:val="center"/>
      </w:pPr>
      <w:r>
        <w:rPr>
          <w:rFonts w:ascii="Aptos" w:cs="Calibri" w:eastAsia="Calibri" w:hAnsi="Aptos"/>
          <w:b/>
          <w:bCs/>
          <w:sz w:val="22"/>
          <w:szCs w:val="22"/>
        </w:rPr>
        <w:t xml:space="preserve">Working Title:</w:t>
      </w:r>
    </w:p>
    <w:p>
      <w:pPr>
        <w:spacing w:after="900"/>
        <w:jc w:val="center"/>
      </w:pPr>
      <w:r>
        <w:rPr>
          <w:rFonts w:ascii="Aptos" w:cs="Calibri" w:eastAsia="Calibri" w:hAnsi="Aptos"/>
          <w:i/>
          <w:iCs/>
          <w:color w:val="2E5395"/>
          <w:sz w:val="22"/>
          <w:szCs w:val="22"/>
        </w:rPr>
        <w:t xml:space="preserve">“Preliminary Analysis of U.S. Equity-Market Trends, Interest Rates, and Inflation”</w:t>
      </w:r>
    </w:p>
    <w:p>
      <w:pPr>
        <w:spacing w:before="1600"/>
        <w:jc w:val="center"/>
      </w:pPr>
      <w:r>
        <w:rPr>
          <w:rFonts w:ascii="Aptos" w:cs="Calibri" w:eastAsia="Calibri" w:hAnsi="Aptos"/>
          <w:color w:val="44546A"/>
          <w:sz w:val="20"/>
          <w:szCs w:val="20"/>
        </w:rPr>
        <w:t xml:space="preserve">Prepared for: Internship Supervisor / Mentor Review</w:t>
      </w:r>
    </w:p>
    <w:p>
      <w:pPr>
        <w:spacing w:after="200"/>
        <w:jc w:val="center"/>
      </w:pPr>
      <w:r>
        <w:rPr>
          <w:rFonts w:ascii="Aptos" w:cs="Calibri" w:eastAsia="Calibri" w:hAnsi="Aptos"/>
          <w:color w:val="44546A"/>
          <w:sz w:val="20"/>
          <w:szCs w:val="20"/>
        </w:rPr>
        <w:t xml:space="preserve">Document Status: Submission-Ready Draft — Week 1</w:t>
      </w:r>
    </w:p>
    <w:p>
      <w:r>
        <w:rPr>
          <w:rFonts w:ascii="Aptos" w:hAnsi="Aptos"/>
        </w:rPr>
        <w:br w:type="page"/>
      </w:r>
    </w:p>
    <w:p>
      <w:pPr>
        <w:sectPr>
          <w:footerReference w:type="default" r:id="rId10"/>
          <w:pgSz w:w="12240" w:h="15840" w:orient="portrait"/>
          <w:pgMar w:top="1008" w:right="1152" w:bottom="1008" w:left="1152" w:header="708" w:footer="708" w:gutter="0"/>
          <w:pgNumType/>
          <w:docGrid w:linePitch="360"/>
        </w:sectPr>
      </w:pPr>
    </w:p>
    <w:p>
      <w:pPr>
        <w:pStyle w:val="Heading1"/>
        <w:pBdr>
          <w:bottom w:val="single" w:color="1F3864" w:sz="8" w:space="4"/>
        </w:pBdr>
        <w:spacing w:after="160" w:before="360"/>
      </w:pPr>
      <w:r>
        <w:rPr>
          <w:rFonts w:ascii="Aptos" w:hAnsi="Aptos"/>
        </w:rPr>
        <w:t xml:space="preserve">Table of Contents</w:t>
      </w:r>
    </w:p>
    <w:p>
      <w:pPr>
        <w:tabs>
          <w:tab w:val="right" w:pos="9026" w:leader="dot"/>
        </w:tabs>
        <w:spacing w:after="120"/>
      </w:pPr>
      <w:r>
        <w:rPr>
          <w:rFonts w:ascii="Aptos" w:cs="Calibri" w:eastAsia="Calibri" w:hAnsi="Aptos"/>
          <w:color w:val="44546A"/>
          <w:sz w:val="22"/>
          <w:szCs w:val="22"/>
        </w:rPr>
        <w:t xml:space="preserve">1. Executive Summary</w:t>
      </w:r>
    </w:p>
    <w:p>
      <w:pPr>
        <w:tabs>
          <w:tab w:val="right" w:pos="9026" w:leader="dot"/>
        </w:tabs>
        <w:spacing w:after="120"/>
      </w:pPr>
      <w:r>
        <w:rPr>
          <w:rFonts w:ascii="Aptos" w:cs="Calibri" w:eastAsia="Calibri" w:hAnsi="Aptos"/>
          <w:color w:val="44546A"/>
          <w:sz w:val="22"/>
          <w:szCs w:val="22"/>
        </w:rPr>
        <w:t xml:space="preserve">2. Internship Task Requirements</w:t>
      </w:r>
    </w:p>
    <w:p>
      <w:pPr>
        <w:tabs>
          <w:tab w:val="right" w:pos="9026" w:leader="dot"/>
        </w:tabs>
        <w:spacing w:after="120"/>
      </w:pPr>
      <w:r>
        <w:rPr>
          <w:rFonts w:ascii="Aptos" w:cs="Calibri" w:eastAsia="Calibri" w:hAnsi="Aptos"/>
          <w:color w:val="44546A"/>
          <w:sz w:val="22"/>
          <w:szCs w:val="22"/>
        </w:rPr>
        <w:t xml:space="preserve">3. Project Objective</w:t>
      </w:r>
    </w:p>
    <w:p>
      <w:pPr>
        <w:tabs>
          <w:tab w:val="right" w:pos="9026" w:leader="dot"/>
        </w:tabs>
        <w:spacing w:after="120"/>
      </w:pPr>
      <w:r>
        <w:rPr>
          <w:rFonts w:ascii="Aptos" w:cs="Calibri" w:eastAsia="Calibri" w:hAnsi="Aptos"/>
          <w:color w:val="44546A"/>
          <w:sz w:val="22"/>
          <w:szCs w:val="22"/>
        </w:rPr>
        <w:t xml:space="preserve">4. Proposed Project Scope</w:t>
      </w:r>
    </w:p>
    <w:p>
      <w:pPr>
        <w:tabs>
          <w:tab w:val="right" w:pos="9026" w:leader="dot"/>
        </w:tabs>
        <w:spacing w:after="120"/>
      </w:pPr>
      <w:r>
        <w:rPr>
          <w:rFonts w:ascii="Aptos" w:cs="Calibri" w:eastAsia="Calibri" w:hAnsi="Aptos"/>
          <w:color w:val="44546A"/>
          <w:sz w:val="22"/>
          <w:szCs w:val="22"/>
        </w:rPr>
        <w:t xml:space="preserve">5. Data Source Identification</w:t>
      </w:r>
    </w:p>
    <w:p>
      <w:pPr>
        <w:tabs>
          <w:tab w:val="right" w:pos="9026" w:leader="dot"/>
        </w:tabs>
        <w:spacing w:after="120"/>
      </w:pPr>
      <w:r>
        <w:rPr>
          <w:rFonts w:ascii="Aptos" w:cs="Calibri" w:eastAsia="Calibri" w:hAnsi="Aptos"/>
          <w:color w:val="44546A"/>
          <w:sz w:val="22"/>
          <w:szCs w:val="22"/>
        </w:rPr>
        <w:t xml:space="preserve">6. Research Questions / Analytical Objectives</w:t>
      </w:r>
    </w:p>
    <w:p>
      <w:pPr>
        <w:tabs>
          <w:tab w:val="right" w:pos="9026" w:leader="dot"/>
        </w:tabs>
        <w:spacing w:after="120"/>
      </w:pPr>
      <w:r>
        <w:rPr>
          <w:rFonts w:ascii="Aptos" w:cs="Calibri" w:eastAsia="Calibri" w:hAnsi="Aptos"/>
          <w:color w:val="44546A"/>
          <w:sz w:val="22"/>
          <w:szCs w:val="22"/>
        </w:rPr>
        <w:t xml:space="preserve">7. Data Acquisition Plan</w:t>
      </w:r>
    </w:p>
    <w:p>
      <w:pPr>
        <w:tabs>
          <w:tab w:val="right" w:pos="9026" w:leader="dot"/>
        </w:tabs>
        <w:spacing w:after="120"/>
      </w:pPr>
      <w:r>
        <w:rPr>
          <w:rFonts w:ascii="Aptos" w:cs="Calibri" w:eastAsia="Calibri" w:hAnsi="Aptos"/>
          <w:color w:val="44546A"/>
          <w:sz w:val="22"/>
          <w:szCs w:val="22"/>
        </w:rPr>
        <w:t xml:space="preserve">8. Data Cleaning &amp; Preprocessing Plan</w:t>
      </w:r>
    </w:p>
    <w:p>
      <w:pPr>
        <w:tabs>
          <w:tab w:val="right" w:pos="9026" w:leader="dot"/>
        </w:tabs>
        <w:spacing w:after="120"/>
      </w:pPr>
      <w:r>
        <w:rPr>
          <w:rFonts w:ascii="Aptos" w:cs="Calibri" w:eastAsia="Calibri" w:hAnsi="Aptos"/>
          <w:color w:val="44546A"/>
          <w:sz w:val="22"/>
          <w:szCs w:val="22"/>
        </w:rPr>
        <w:t xml:space="preserve">9. Preliminary Analysis / EDA Plan</w:t>
      </w:r>
    </w:p>
    <w:p>
      <w:pPr>
        <w:tabs>
          <w:tab w:val="right" w:pos="9026" w:leader="dot"/>
        </w:tabs>
        <w:spacing w:after="120"/>
      </w:pPr>
      <w:r>
        <w:rPr>
          <w:rFonts w:ascii="Aptos" w:cs="Calibri" w:eastAsia="Calibri" w:hAnsi="Aptos"/>
          <w:color w:val="44546A"/>
          <w:sz w:val="22"/>
          <w:szCs w:val="22"/>
        </w:rPr>
        <w:t xml:space="preserve">10. Python Tools &amp; Library Justification</w:t>
      </w:r>
    </w:p>
    <w:p>
      <w:pPr>
        <w:tabs>
          <w:tab w:val="right" w:pos="9026" w:leader="dot"/>
        </w:tabs>
        <w:spacing w:after="120"/>
      </w:pPr>
      <w:r>
        <w:rPr>
          <w:rFonts w:ascii="Aptos" w:cs="Calibri" w:eastAsia="Calibri" w:hAnsi="Aptos"/>
          <w:color w:val="44546A"/>
          <w:sz w:val="22"/>
          <w:szCs w:val="22"/>
        </w:rPr>
        <w:t xml:space="preserve">11. Week 1 Timeline &amp; Milestones</w:t>
      </w:r>
    </w:p>
    <w:p>
      <w:pPr>
        <w:tabs>
          <w:tab w:val="right" w:pos="9026" w:leader="dot"/>
        </w:tabs>
        <w:spacing w:after="120"/>
      </w:pPr>
      <w:r>
        <w:rPr>
          <w:rFonts w:ascii="Aptos" w:cs="Calibri" w:eastAsia="Calibri" w:hAnsi="Aptos"/>
          <w:color w:val="44546A"/>
          <w:sz w:val="22"/>
          <w:szCs w:val="22"/>
        </w:rPr>
        <w:t xml:space="preserve">12. Project Folder Structure &amp; Reproducibility</w:t>
      </w:r>
    </w:p>
    <w:p>
      <w:pPr>
        <w:tabs>
          <w:tab w:val="right" w:pos="9026" w:leader="dot"/>
        </w:tabs>
        <w:spacing w:after="120"/>
      </w:pPr>
      <w:r>
        <w:rPr>
          <w:rFonts w:ascii="Aptos" w:cs="Calibri" w:eastAsia="Calibri" w:hAnsi="Aptos"/>
          <w:color w:val="44546A"/>
          <w:sz w:val="22"/>
          <w:szCs w:val="22"/>
        </w:rPr>
        <w:t xml:space="preserve">13. Risks, Limitations &amp; Quality Controls</w:t>
      </w:r>
    </w:p>
    <w:p>
      <w:pPr>
        <w:tabs>
          <w:tab w:val="right" w:pos="9026" w:leader="dot"/>
        </w:tabs>
        <w:spacing w:after="120"/>
      </w:pPr>
      <w:r>
        <w:rPr>
          <w:rFonts w:ascii="Aptos" w:cs="Calibri" w:eastAsia="Calibri" w:hAnsi="Aptos"/>
          <w:color w:val="44546A"/>
          <w:sz w:val="22"/>
          <w:szCs w:val="22"/>
        </w:rPr>
        <w:t xml:space="preserve">14. Expected Deliverables</w:t>
      </w:r>
    </w:p>
    <w:p>
      <w:pPr>
        <w:tabs>
          <w:tab w:val="right" w:pos="9026" w:leader="dot"/>
        </w:tabs>
        <w:spacing w:after="120"/>
      </w:pPr>
      <w:r>
        <w:rPr>
          <w:rFonts w:ascii="Aptos" w:cs="Calibri" w:eastAsia="Calibri" w:hAnsi="Aptos"/>
          <w:color w:val="44546A"/>
          <w:sz w:val="22"/>
          <w:szCs w:val="22"/>
        </w:rPr>
        <w:t xml:space="preserve">15. Success Criteria</w:t>
      </w:r>
    </w:p>
    <w:p>
      <w:pPr>
        <w:pStyle w:val="Heading1"/>
      </w:pPr>
      <w:r>
        <w:t>16. Final Methodological Decisions</w:t>
      </w:r>
    </w:p>
    <w:p>
      <w:r>
        <w:t>• The primary Week 1 dataset will be FRED, using SP500, DGS10, and CPIAUCSL. Yahoo Finance/yfinance remains a secondary option if ticker-level market data is specifically requested.</w:t>
      </w:r>
    </w:p>
    <w:p>
      <w:r>
        <w:t>• Daily S&amp;P 500 returns and rolling volatility will be analyzed at daily frequency. Comparisons involving CPI will use a documented monthly alignment so that monthly macroeconomic data are not represented as naturally occurring daily observations.</w:t>
      </w:r>
    </w:p>
    <w:p>
      <w:r>
        <w:t>• The study is descriptive. Correlation will be interpreted as association rather than causation, and unusual observations will be investigated rather than automatically removed.</w:t>
      </w:r>
    </w:p>
    <w:p>
      <w:r>
        <w:t>• Raw data will be preserved before cleaning, and retrieval dates and transformation rules will be recorded to support reproducibility.</w:t>
      </w:r>
    </w:p>
    <w:p>
      <w:pPr>
        <w:tabs>
          <w:tab w:val="right" w:pos="9026" w:leader="dot"/>
        </w:tabs>
        <w:spacing w:after="120"/>
      </w:pPr>
      <w:r>
        <w:t>17. Conclusion</w:t>
      </w:r>
    </w:p>
    <w:p>
      <w:pPr>
        <w:tabs>
          <w:tab w:val="right" w:pos="9026" w:leader="dot"/>
        </w:tabs>
        <w:spacing w:after="120"/>
      </w:pPr>
      <w:r>
        <w:t>18. References</w:t>
      </w:r>
    </w:p>
    <w:p>
      <w:r>
        <w:rPr>
          <w:rFonts w:ascii="Aptos" w:hAnsi="Aptos"/>
        </w:rPr>
        <w:br w:type="page"/>
      </w:r>
    </w:p>
    <w:p>
      <w:pPr>
        <w:pStyle w:val="Heading1"/>
        <w:pBdr>
          <w:bottom w:val="single" w:color="1F3864" w:sz="8" w:space="4"/>
        </w:pBdr>
        <w:spacing w:after="160" w:before="360"/>
      </w:pPr>
      <w:r>
        <w:rPr>
          <w:rFonts w:ascii="Aptos" w:hAnsi="Aptos"/>
        </w:rPr>
        <w:t xml:space="preserve">1. Executive Summary</w:t>
      </w:r>
    </w:p>
    <w:p>
      <w:pPr>
        <w:spacing w:after="160" w:line="276"/>
      </w:pPr>
      <w:r>
        <w:rPr>
          <w:rFonts w:ascii="Aptos" w:cs="Calibri" w:eastAsia="Calibri" w:hAnsi="Aptos"/>
          <w:sz w:val="22"/>
          <w:szCs w:val="22"/>
        </w:rPr>
        <w:t xml:space="preserve">This project plan describes a practical, reproducible approach for acquiring and exploring publicly available financial and economic data using Python. The Week 1 objective is not to produce investment recommendations, but to build a reliable analytical foundation: identify suitable public data sources, define clear analytical questions, document the data thoroughly, establish a reproducible workflow, and perform preliminary data-quality checks.</w:t>
      </w:r>
    </w:p>
    <w:p>
      <w:pPr>
        <w:spacing w:after="160" w:line="276"/>
      </w:pPr>
      <w:r>
        <w:rPr>
          <w:rFonts w:ascii="Aptos" w:cs="Calibri" w:eastAsia="Calibri" w:hAnsi="Aptos"/>
          <w:sz w:val="22"/>
          <w:szCs w:val="22"/>
        </w:rPr>
        <w:t xml:space="preserve">The proposed study examines the descriptive relationship between a broad U.S. equity-market indicator, long-term interest rates, and consumer-price inflation. This scope is intentionally small enough for a first internship project while still demonstrating the full analytical cycle: data acquisition, cleaning, exploratory analysis, visualization, and basic financial reasoning.</w:t>
      </w:r>
    </w:p>
    <w:p>
      <w:pPr>
        <w:spacing w:after="160" w:line="276"/>
      </w:pPr>
      <w:r>
        <w:rPr>
          <w:rFonts w:ascii="Aptos" w:cs="Calibri" w:eastAsia="Calibri" w:hAnsi="Aptos"/>
          <w:sz w:val="22"/>
          <w:szCs w:val="22"/>
        </w:rPr>
        <w:t xml:space="preserve">All work in this document is planning-stage. No analysis has yet been performed; figures such as hours and milestones represent a realistic, achievable plan for the current internship week.</w:t>
      </w:r>
    </w:p>
    <w:p>
      <w:pPr>
        <w:pStyle w:val="Heading1"/>
        <w:pBdr>
          <w:bottom w:val="single" w:color="1F3864" w:sz="8" w:space="4"/>
        </w:pBdr>
        <w:spacing w:after="160" w:before="360"/>
      </w:pPr>
      <w:r>
        <w:rPr>
          <w:rFonts w:ascii="Aptos" w:hAnsi="Aptos"/>
        </w:rPr>
        <w:t xml:space="preserve">2. Internship Task Requirements</w:t>
      </w:r>
    </w:p>
    <w:p>
      <w:pPr>
        <w:spacing w:after="160" w:line="276"/>
      </w:pPr>
      <w:r>
        <w:rPr>
          <w:rFonts w:ascii="Aptos" w:cs="Calibri" w:eastAsia="Calibri" w:hAnsi="Aptos"/>
          <w:sz w:val="22"/>
          <w:szCs w:val="22"/>
        </w:rPr>
        <w:t xml:space="preserve">The following requirements were provided through the internship portal for the Week 1 assignment:</w:t>
      </w:r>
    </w:p>
    <w:p>
      <w:pPr>
        <w:pStyle w:val="ListParagraph"/>
        <w:numPr>
          <w:ilvl w:val="0"/>
          <w:numId w:val="2"/>
        </w:numPr>
        <w:spacing w:after="80"/>
      </w:pPr>
      <w:r>
        <w:rPr>
          <w:rFonts w:ascii="Aptos" w:cs="Calibri" w:eastAsia="Calibri" w:hAnsi="Aptos"/>
          <w:sz w:val="22"/>
          <w:szCs w:val="22"/>
        </w:rPr>
        <w:t xml:space="preserve">Prepare a DOCX containing a comprehensive project plan.</w:t>
      </w:r>
    </w:p>
    <w:p>
      <w:pPr>
        <w:pStyle w:val="ListParagraph"/>
        <w:numPr>
          <w:ilvl w:val="0"/>
          <w:numId w:val="2"/>
        </w:numPr>
        <w:spacing w:after="80"/>
      </w:pPr>
      <w:r>
        <w:rPr>
          <w:rFonts w:ascii="Aptos" w:cs="Calibri" w:eastAsia="Calibri" w:hAnsi="Aptos"/>
          <w:sz w:val="22"/>
          <w:szCs w:val="22"/>
        </w:rPr>
        <w:t xml:space="preserve">Explain the selection of public financial data and the approach to data acquisition, cleaning, and preliminary analysis.</w:t>
      </w:r>
    </w:p>
    <w:p>
      <w:pPr>
        <w:pStyle w:val="ListParagraph"/>
        <w:numPr>
          <w:ilvl w:val="0"/>
          <w:numId w:val="2"/>
        </w:numPr>
        <w:spacing w:after="80"/>
      </w:pPr>
      <w:r>
        <w:rPr>
          <w:rFonts w:ascii="Aptos" w:cs="Calibri" w:eastAsia="Calibri" w:hAnsi="Aptos"/>
          <w:sz w:val="22"/>
          <w:szCs w:val="22"/>
        </w:rPr>
        <w:t xml:space="preserve">Describe the Python libraries/tools that will be used and why they are useful.</w:t>
      </w:r>
    </w:p>
    <w:p>
      <w:pPr>
        <w:pStyle w:val="ListParagraph"/>
        <w:numPr>
          <w:ilvl w:val="0"/>
          <w:numId w:val="2"/>
        </w:numPr>
        <w:spacing w:after="80"/>
      </w:pPr>
      <w:r>
        <w:rPr>
          <w:rFonts w:ascii="Aptos" w:cs="Calibri" w:eastAsia="Calibri" w:hAnsi="Aptos"/>
          <w:sz w:val="22"/>
          <w:szCs w:val="22"/>
        </w:rPr>
        <w:t xml:space="preserve">Identify at least two publicly accessible financial data sources.</w:t>
      </w:r>
    </w:p>
    <w:p>
      <w:pPr>
        <w:pStyle w:val="ListParagraph"/>
        <w:numPr>
          <w:ilvl w:val="0"/>
          <w:numId w:val="2"/>
        </w:numPr>
        <w:spacing w:after="80"/>
      </w:pPr>
      <w:r>
        <w:rPr>
          <w:rFonts w:ascii="Aptos" w:cs="Calibri" w:eastAsia="Calibri" w:hAnsi="Aptos"/>
          <w:sz w:val="22"/>
          <w:szCs w:val="22"/>
        </w:rPr>
        <w:t xml:space="preserve">Define key analytical questions, such as market trends, volatility, and risk factors.</w:t>
      </w:r>
    </w:p>
    <w:p>
      <w:pPr>
        <w:pStyle w:val="ListParagraph"/>
        <w:numPr>
          <w:ilvl w:val="0"/>
          <w:numId w:val="2"/>
        </w:numPr>
        <w:spacing w:after="80"/>
      </w:pPr>
      <w:r>
        <w:rPr>
          <w:rFonts w:ascii="Aptos" w:cs="Calibri" w:eastAsia="Calibri" w:hAnsi="Aptos"/>
          <w:sz w:val="22"/>
          <w:szCs w:val="22"/>
        </w:rPr>
        <w:t xml:space="preserve">Provide a detailed plan, timeline, and milestones for approximately 30–35 hours of work.</w:t>
      </w:r>
    </w:p>
    <w:p>
      <w:pPr>
        <w:pStyle w:val="Heading1"/>
        <w:pBdr>
          <w:bottom w:val="single" w:color="1F3864" w:sz="8" w:space="4"/>
        </w:pBdr>
        <w:spacing w:after="160" w:before="360"/>
      </w:pPr>
      <w:r>
        <w:rPr>
          <w:rFonts w:ascii="Aptos" w:hAnsi="Aptos"/>
        </w:rPr>
        <w:t xml:space="preserve">3. Project Objective</w:t>
      </w:r>
    </w:p>
    <w:p>
      <w:pPr>
        <w:spacing w:after="160" w:line="276"/>
      </w:pPr>
      <w:r>
        <w:t>To plan a structured approach for acquiring, validating, cleaning, and preliminarily exploring publicly available U.S. financial and macroeconomic data using Python, establishing a reproducible foundation for analysis in subsequent stages.</w:t>
      </w:r>
    </w:p>
    <w:p>
      <w:pPr>
        <w:pStyle w:val="Heading1"/>
        <w:pBdr>
          <w:bottom w:val="single" w:color="1F3864" w:sz="8" w:space="4"/>
        </w:pBdr>
        <w:spacing w:after="160" w:before="360"/>
      </w:pPr>
      <w:r>
        <w:rPr>
          <w:rFonts w:ascii="Aptos" w:hAnsi="Aptos"/>
        </w:rPr>
        <w:t xml:space="preserve">4. Proposed Project Scope</w:t>
      </w:r>
    </w:p>
    <w:p>
      <w:pPr>
        <w:spacing w:after="160" w:line="276"/>
      </w:pPr>
      <w:r>
        <w:rPr>
          <w:rFonts w:ascii="Aptos" w:cs="Calibri" w:eastAsia="Calibri" w:hAnsi="Aptos"/>
          <w:sz w:val="22"/>
          <w:szCs w:val="22"/>
        </w:rPr>
        <w:t xml:space="preserve">Working title: “Preliminary Analysis of U.S. Equity-Market Trends, Interest Rates, and Inflation.” The analysis will use daily and monthly observations where appropriate and will remain descriptive in nature — it will not attempt forecasting, trading-strategy design, or investment advice.</w:t>
      </w:r>
    </w:p>
    <w:p>
      <w:pPr>
        <w:pStyle w:val="Heading2"/>
        <w:spacing w:after="120" w:before="240"/>
      </w:pPr>
      <w:r>
        <w:rPr>
          <w:rFonts w:ascii="Aptos" w:hAnsi="Aptos"/>
        </w:rPr>
        <w:t xml:space="preserve">Core Variables</w:t>
      </w:r>
    </w:p>
    <w:p>
      <w:pPr>
        <w:pStyle w:val="ListParagraph"/>
        <w:numPr>
          <w:ilvl w:val="0"/>
          <w:numId w:val="2"/>
        </w:numPr>
        <w:spacing w:after="80"/>
      </w:pPr>
      <w:r>
        <w:rPr>
          <w:rFonts w:ascii="Aptos" w:cs="Calibri" w:eastAsia="Calibri" w:hAnsi="Aptos"/>
          <w:sz w:val="22"/>
          <w:szCs w:val="22"/>
        </w:rPr>
        <w:t xml:space="preserve">S&amp;P 500 Index (FRED series SP500) – Broad U.S. equity-market indicator.</w:t>
      </w:r>
    </w:p>
    <w:p>
      <w:pPr>
        <w:pStyle w:val="ListParagraph"/>
        <w:numPr>
          <w:ilvl w:val="0"/>
          <w:numId w:val="2"/>
        </w:numPr>
        <w:spacing w:after="80"/>
      </w:pPr>
      <w:r>
        <w:rPr>
          <w:rFonts w:ascii="Aptos" w:cs="Calibri" w:eastAsia="Calibri" w:hAnsi="Aptos"/>
          <w:sz w:val="22"/>
          <w:szCs w:val="22"/>
        </w:rPr>
        <w:t xml:space="preserve">10-Year Treasury Constant Maturity Rate (FRED series DGS10) – Proxy for longer-term interest-rate conditions.</w:t>
      </w:r>
    </w:p>
    <w:p>
      <w:pPr>
        <w:pStyle w:val="ListParagraph"/>
        <w:numPr>
          <w:ilvl w:val="0"/>
          <w:numId w:val="2"/>
        </w:numPr>
        <w:spacing w:after="80"/>
      </w:pPr>
      <w:r>
        <w:rPr>
          <w:rFonts w:ascii="Aptos" w:cs="Calibri" w:eastAsia="Calibri" w:hAnsi="Aptos"/>
          <w:sz w:val="22"/>
          <w:szCs w:val="22"/>
        </w:rPr>
        <w:t xml:space="preserve">Consumer Price Index for All Urban Consumers (FRED series CPIAUCSL) – Measure of consumer-price inflation.</w:t>
      </w:r>
    </w:p>
    <w:p>
      <w:pPr>
        <w:spacing w:after="160" w:line="276"/>
      </w:pPr>
      <w:r>
        <w:rPr>
          <w:rFonts w:ascii="Aptos" w:cs="Calibri" w:eastAsia="Calibri" w:hAnsi="Aptos"/>
          <w:sz w:val="22"/>
          <w:szCs w:val="22"/>
        </w:rPr>
        <w:t xml:space="preserve">If the supervisor specifically requires stock-by-stock market data rather than an index-level view, Yahoo Finance (via the yfinance library) can be added as a secondary market-data source after confirmation, without changing the overall scope.</w:t>
      </w:r>
    </w:p>
    <w:p>
      <w:pPr>
        <w:pStyle w:val="Heading1"/>
        <w:pBdr>
          <w:bottom w:val="single" w:color="1F3864" w:sz="8" w:space="4"/>
        </w:pBdr>
        <w:spacing w:after="160" w:before="360"/>
      </w:pPr>
      <w:r>
        <w:rPr>
          <w:rFonts w:ascii="Aptos" w:hAnsi="Aptos"/>
        </w:rPr>
        <w:t xml:space="preserve">5. Data Source Identification</w:t>
      </w:r>
    </w:p>
    <w:p>
      <w:pPr>
        <w:spacing w:after="160" w:line="276"/>
      </w:pPr>
      <w:r>
        <w:rPr>
          <w:rFonts w:ascii="Aptos" w:cs="Calibri" w:eastAsia="Calibri" w:hAnsi="Aptos"/>
          <w:sz w:val="22"/>
          <w:szCs w:val="22"/>
        </w:rPr>
        <w:t xml:space="preserve">Three public sources were evaluated. FRED is the primary source for Week 1 because it is free, well-documented, and provides all three core series from a single, reliable API. Yahoo Finance is proposed as a secondary market-data source in case ticker-level (rather than index-level) data is later required. SEC EDGAR is documented as a future source for company-level fundamental analysis but is not used in Week 1.</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1600"/>
        <w:gridCol w:w="2500"/>
      </w:tblGrid>
      <w:tr>
        <w:trPr>
          <w:tblHeader/>
        </w:trPr>
        <w:tc>
          <w:tcPr>
            <w:tcW w:type="dxa" w:w="15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Source / Provider</w:t>
            </w:r>
          </w:p>
        </w:tc>
        <w:tc>
          <w:tcPr>
            <w:tcW w:type="dxa" w:w="17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Data Type</w:t>
            </w:r>
          </w:p>
        </w:tc>
        <w:tc>
          <w:tcPr>
            <w:tcW w:type="dxa" w:w="21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Example Series</w:t>
            </w:r>
          </w:p>
        </w:tc>
        <w:tc>
          <w:tcPr>
            <w:tcW w:type="dxa" w:w="16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Frequency &amp; Access</w:t>
            </w:r>
          </w:p>
        </w:tc>
        <w:tc>
          <w:tcPr>
            <w:tcW w:type="dxa" w:w="25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Why It Is Relevant</w:t>
            </w:r>
          </w:p>
        </w:tc>
      </w:tr>
      <w:tr>
        <w:tc>
          <w:tcPr>
            <w:tcW w:type="dxa" w:w="1500"/>
            <w:tcMar>
              <w:top w:type="dxa" w:w="80"/>
              <w:left w:type="dxa" w:w="100"/>
              <w:bottom w:type="dxa" w:w="80"/>
              <w:right w:type="dxa" w:w="100"/>
            </w:tcMar>
            <w:vAlign w:val="center"/>
          </w:tcPr>
          <w:p>
            <w:r>
              <w:rPr>
                <w:rFonts w:ascii="Aptos" w:cs="Calibri" w:eastAsia="Calibri" w:hAnsi="Aptos"/>
                <w:sz w:val="18"/>
                <w:szCs w:val="20"/>
              </w:rPr>
              <w:t xml:space="preserve">FRED
(Federal Reserve Bank of St. Louis)</w:t>
            </w:r>
          </w:p>
        </w:tc>
        <w:tc>
          <w:tcPr>
            <w:tcW w:type="dxa" w:w="1700"/>
            <w:tcMar>
              <w:top w:type="dxa" w:w="80"/>
              <w:left w:type="dxa" w:w="100"/>
              <w:bottom w:type="dxa" w:w="80"/>
              <w:right w:type="dxa" w:w="100"/>
            </w:tcMar>
            <w:vAlign w:val="center"/>
          </w:tcPr>
          <w:p>
            <w:r>
              <w:rPr>
                <w:rFonts w:ascii="Aptos" w:cs="Calibri" w:eastAsia="Calibri" w:hAnsi="Aptos"/>
                <w:sz w:val="18"/>
                <w:szCs w:val="20"/>
              </w:rPr>
              <w:t xml:space="preserve">Macroeconomic &amp; financial time series</w:t>
            </w:r>
          </w:p>
        </w:tc>
        <w:tc>
          <w:tcPr>
            <w:tcW w:type="dxa" w:w="2100"/>
            <w:tcMar>
              <w:top w:type="dxa" w:w="80"/>
              <w:left w:type="dxa" w:w="100"/>
              <w:bottom w:type="dxa" w:w="80"/>
              <w:right w:type="dxa" w:w="100"/>
            </w:tcMar>
            <w:vAlign w:val="center"/>
          </w:tcPr>
          <w:p>
            <w:r>
              <w:rPr>
                <w:rFonts w:ascii="Aptos" w:cs="Calibri" w:eastAsia="Calibri" w:hAnsi="Aptos"/>
                <w:sz w:val="18"/>
                <w:szCs w:val="20"/>
              </w:rPr>
              <w:t xml:space="preserve">SP500, DGS10, CPIAUCSL</w:t>
            </w:r>
          </w:p>
        </w:tc>
        <w:tc>
          <w:tcPr>
            <w:tcW w:type="dxa" w:w="1600"/>
            <w:tcMar>
              <w:top w:type="dxa" w:w="80"/>
              <w:left w:type="dxa" w:w="100"/>
              <w:bottom w:type="dxa" w:w="80"/>
              <w:right w:type="dxa" w:w="100"/>
            </w:tcMar>
            <w:vAlign w:val="center"/>
          </w:tcPr>
          <w:p>
            <w:r>
              <w:rPr>
                <w:rFonts w:ascii="Aptos" w:cs="Calibri" w:eastAsia="Calibri" w:hAnsi="Aptos"/>
                <w:sz w:val="18"/>
                <w:szCs w:val="20"/>
              </w:rPr>
              <w:t xml:space="preserve">Daily/Monthly; free public API (fredapi / requests)</w:t>
            </w:r>
          </w:p>
        </w:tc>
        <w:tc>
          <w:tcPr>
            <w:tcW w:type="dxa" w:w="2500"/>
            <w:tcMar>
              <w:top w:type="dxa" w:w="80"/>
              <w:left w:type="dxa" w:w="100"/>
              <w:bottom w:type="dxa" w:w="80"/>
              <w:right w:type="dxa" w:w="100"/>
            </w:tcMar>
            <w:vAlign w:val="center"/>
          </w:tcPr>
          <w:p>
            <w:r>
              <w:rPr>
                <w:rFonts w:ascii="Aptos" w:cs="Calibri" w:eastAsia="Calibri" w:hAnsi="Aptos"/>
                <w:sz w:val="18"/>
                <w:szCs w:val="20"/>
              </w:rPr>
              <w:t xml:space="preserve">Authoritative, reproducible, single source for all three core variables; well-documented API.</w:t>
            </w:r>
          </w:p>
        </w:tc>
      </w:tr>
      <w:tr>
        <w:tc>
          <w:tcPr>
            <w:tcW w:type="dxa" w:w="1500"/>
            <w:shd w:fill="EDEDED" w:val="clear"/>
            <w:tcMar>
              <w:top w:type="dxa" w:w="80"/>
              <w:left w:type="dxa" w:w="100"/>
              <w:bottom w:type="dxa" w:w="80"/>
              <w:right w:type="dxa" w:w="100"/>
            </w:tcMar>
            <w:vAlign w:val="center"/>
          </w:tcPr>
          <w:p>
            <w:r>
              <w:rPr>
                <w:rFonts w:ascii="Aptos" w:cs="Calibri" w:eastAsia="Calibri" w:hAnsi="Aptos"/>
                <w:sz w:val="18"/>
                <w:szCs w:val="20"/>
              </w:rPr>
              <w:t xml:space="preserve">Yahoo Finance
(via yfinance)</w:t>
            </w:r>
          </w:p>
        </w:tc>
        <w:tc>
          <w:tcPr>
            <w:tcW w:type="dxa" w:w="1700"/>
            <w:shd w:fill="EDEDED" w:val="clear"/>
            <w:tcMar>
              <w:top w:type="dxa" w:w="80"/>
              <w:left w:type="dxa" w:w="100"/>
              <w:bottom w:type="dxa" w:w="80"/>
              <w:right w:type="dxa" w:w="100"/>
            </w:tcMar>
            <w:vAlign w:val="center"/>
          </w:tcPr>
          <w:p>
            <w:r>
              <w:rPr>
                <w:rFonts w:ascii="Aptos" w:cs="Calibri" w:eastAsia="Calibri" w:hAnsi="Aptos"/>
                <w:sz w:val="18"/>
                <w:szCs w:val="20"/>
              </w:rPr>
              <w:t xml:space="preserve">Market data (equities, indices)</w:t>
            </w:r>
          </w:p>
        </w:tc>
        <w:tc>
          <w:tcPr>
            <w:tcW w:type="dxa" w:w="2100"/>
            <w:shd w:fill="EDEDED" w:val="clear"/>
            <w:tcMar>
              <w:top w:type="dxa" w:w="80"/>
              <w:left w:type="dxa" w:w="100"/>
              <w:bottom w:type="dxa" w:w="80"/>
              <w:right w:type="dxa" w:w="100"/>
            </w:tcMar>
            <w:vAlign w:val="center"/>
          </w:tcPr>
          <w:p>
            <w:r>
              <w:rPr>
                <w:rFonts w:ascii="Aptos" w:cs="Calibri" w:eastAsia="Calibri" w:hAnsi="Aptos"/>
                <w:sz w:val="18"/>
                <w:szCs w:val="20"/>
              </w:rPr>
              <w:t xml:space="preserve">^GSPC (S&amp;P 500 ticker-level OHLCV)</w:t>
            </w:r>
          </w:p>
        </w:tc>
        <w:tc>
          <w:tcPr>
            <w:tcW w:type="dxa" w:w="1600"/>
            <w:shd w:fill="EDEDED" w:val="clear"/>
            <w:tcMar>
              <w:top w:type="dxa" w:w="80"/>
              <w:left w:type="dxa" w:w="100"/>
              <w:bottom w:type="dxa" w:w="80"/>
              <w:right w:type="dxa" w:w="100"/>
            </w:tcMar>
            <w:vAlign w:val="center"/>
          </w:tcPr>
          <w:p>
            <w:r>
              <w:rPr>
                <w:rFonts w:ascii="Aptos" w:cs="Calibri" w:eastAsia="Calibri" w:hAnsi="Aptos"/>
                <w:sz w:val="18"/>
                <w:szCs w:val="20"/>
              </w:rPr>
              <w:t xml:space="preserve">Daily; free Python library</w:t>
            </w:r>
          </w:p>
        </w:tc>
        <w:tc>
          <w:tcPr>
            <w:tcW w:type="dxa" w:w="2500"/>
            <w:shd w:fill="EDEDED" w:val="clear"/>
            <w:tcMar>
              <w:top w:type="dxa" w:w="80"/>
              <w:left w:type="dxa" w:w="100"/>
              <w:bottom w:type="dxa" w:w="80"/>
              <w:right w:type="dxa" w:w="100"/>
            </w:tcMar>
            <w:vAlign w:val="center"/>
          </w:tcPr>
          <w:p>
            <w:r>
              <w:rPr>
                <w:rFonts w:ascii="Aptos" w:cs="Calibri" w:eastAsia="Calibri" w:hAnsi="Aptos"/>
                <w:sz w:val="18"/>
                <w:szCs w:val="20"/>
              </w:rPr>
              <w:t xml:space="preserve">Secondary source if ticker-level price/volume detail is later required; widely used in practice.</w:t>
            </w:r>
          </w:p>
        </w:tc>
      </w:tr>
      <w:tr>
        <w:tc>
          <w:tcPr>
            <w:tcW w:type="dxa" w:w="1500"/>
            <w:tcMar>
              <w:top w:type="dxa" w:w="80"/>
              <w:left w:type="dxa" w:w="100"/>
              <w:bottom w:type="dxa" w:w="80"/>
              <w:right w:type="dxa" w:w="100"/>
            </w:tcMar>
            <w:vAlign w:val="center"/>
          </w:tcPr>
          <w:p>
            <w:r>
              <w:rPr>
                <w:rFonts w:ascii="Aptos" w:cs="Calibri" w:eastAsia="Calibri" w:hAnsi="Aptos"/>
                <w:sz w:val="18"/>
                <w:szCs w:val="20"/>
              </w:rPr>
              <w:t xml:space="preserve">SEC EDGAR</w:t>
            </w:r>
          </w:p>
        </w:tc>
        <w:tc>
          <w:tcPr>
            <w:tcW w:type="dxa" w:w="1700"/>
            <w:tcMar>
              <w:top w:type="dxa" w:w="80"/>
              <w:left w:type="dxa" w:w="100"/>
              <w:bottom w:type="dxa" w:w="80"/>
              <w:right w:type="dxa" w:w="100"/>
            </w:tcMar>
            <w:vAlign w:val="center"/>
          </w:tcPr>
          <w:p>
            <w:r>
              <w:rPr>
                <w:rFonts w:ascii="Aptos" w:cs="Calibri" w:eastAsia="Calibri" w:hAnsi="Aptos"/>
                <w:sz w:val="18"/>
                <w:szCs w:val="20"/>
              </w:rPr>
              <w:t xml:space="preserve">Company filings &amp; XBRL fundamentals</w:t>
            </w:r>
          </w:p>
        </w:tc>
        <w:tc>
          <w:tcPr>
            <w:tcW w:type="dxa" w:w="2100"/>
            <w:tcMar>
              <w:top w:type="dxa" w:w="80"/>
              <w:left w:type="dxa" w:w="100"/>
              <w:bottom w:type="dxa" w:w="80"/>
              <w:right w:type="dxa" w:w="100"/>
            </w:tcMar>
            <w:vAlign w:val="center"/>
          </w:tcPr>
          <w:p>
            <w:r>
              <w:rPr>
                <w:rFonts w:ascii="Aptos" w:cs="Calibri" w:eastAsia="Calibri" w:hAnsi="Aptos"/>
                <w:sz w:val="18"/>
                <w:szCs w:val="20"/>
              </w:rPr>
              <w:t xml:space="preserve">10-K/10-Q filings, XBRL facts</w:t>
            </w:r>
          </w:p>
        </w:tc>
        <w:tc>
          <w:tcPr>
            <w:tcW w:type="dxa" w:w="1600"/>
            <w:tcMar>
              <w:top w:type="dxa" w:w="80"/>
              <w:left w:type="dxa" w:w="100"/>
              <w:bottom w:type="dxa" w:w="80"/>
              <w:right w:type="dxa" w:w="100"/>
            </w:tcMar>
            <w:vAlign w:val="center"/>
          </w:tcPr>
          <w:p>
            <w:r>
              <w:rPr>
                <w:rFonts w:ascii="Aptos" w:cs="Calibri" w:eastAsia="Calibri" w:hAnsi="Aptos"/>
                <w:sz w:val="18"/>
                <w:szCs w:val="20"/>
              </w:rPr>
              <w:t xml:space="preserve">Event-based; free public API</w:t>
            </w:r>
          </w:p>
        </w:tc>
        <w:tc>
          <w:tcPr>
            <w:tcW w:type="dxa" w:w="2500"/>
            <w:tcMar>
              <w:top w:type="dxa" w:w="80"/>
              <w:left w:type="dxa" w:w="100"/>
              <w:bottom w:type="dxa" w:w="80"/>
              <w:right w:type="dxa" w:w="100"/>
            </w:tcMar>
            <w:vAlign w:val="center"/>
          </w:tcPr>
          <w:p>
            <w:r>
              <w:rPr>
                <w:rFonts w:ascii="Aptos" w:cs="Calibri" w:eastAsia="Calibri" w:hAnsi="Aptos"/>
                <w:sz w:val="18"/>
                <w:szCs w:val="20"/>
              </w:rPr>
              <w:t xml:space="preserve">Documented for future extension into company-level fundamental analysis (not used in Week 1).</w:t>
            </w:r>
          </w:p>
        </w:tc>
      </w:tr>
    </w:tbl>
    <w:p>
      <w:pPr>
        <w:spacing w:before="160"/>
      </w:pPr>
    </w:p>
    <w:p>
      <w:pPr>
        <w:pStyle w:val="Heading2"/>
        <w:spacing w:after="120" w:before="240"/>
      </w:pPr>
      <w:r>
        <w:rPr>
          <w:rFonts w:ascii="Aptos" w:hAnsi="Aptos"/>
        </w:rPr>
        <w:t xml:space="preserve">Limitations of the Selected Sources</w:t>
      </w:r>
    </w:p>
    <w:p>
      <w:pPr>
        <w:pStyle w:val="ListParagraph"/>
        <w:numPr>
          <w:ilvl w:val="0"/>
          <w:numId w:val="2"/>
        </w:numPr>
        <w:spacing w:after="80"/>
      </w:pPr>
      <w:r>
        <w:rPr>
          <w:rFonts w:ascii="Aptos" w:cs="Calibri" w:eastAsia="Calibri" w:hAnsi="Aptos"/>
          <w:sz w:val="22"/>
          <w:szCs w:val="22"/>
        </w:rPr>
        <w:t xml:space="preserve">FRED series may be revised after initial release (e.g., CPI); the retrieval date should always be recorded.</w:t>
      </w:r>
    </w:p>
    <w:p>
      <w:pPr>
        <w:pStyle w:val="ListParagraph"/>
        <w:numPr>
          <w:ilvl w:val="0"/>
          <w:numId w:val="2"/>
        </w:numPr>
        <w:spacing w:after="80"/>
      </w:pPr>
      <w:r>
        <w:rPr>
          <w:rFonts w:ascii="Aptos" w:cs="Calibri" w:eastAsia="Calibri" w:hAnsi="Aptos"/>
          <w:sz w:val="22"/>
          <w:szCs w:val="22"/>
        </w:rPr>
        <w:t xml:space="preserve">Yahoo Finance data is convenient but is an unofficial API with occasional schema changes; it will only be used as a secondary check, not the primary dataset.</w:t>
      </w:r>
    </w:p>
    <w:p>
      <w:pPr>
        <w:pStyle w:val="ListParagraph"/>
        <w:numPr>
          <w:ilvl w:val="0"/>
          <w:numId w:val="2"/>
        </w:numPr>
        <w:spacing w:after="80"/>
      </w:pPr>
      <w:r>
        <w:rPr>
          <w:rFonts w:ascii="Aptos" w:cs="Calibri" w:eastAsia="Calibri" w:hAnsi="Aptos"/>
          <w:sz w:val="22"/>
          <w:szCs w:val="22"/>
        </w:rPr>
        <w:t xml:space="preserve">SEC EDGAR fundamentals are filing-based and not currently in scope; they are noted here only for completeness and future extension.</w:t>
      </w:r>
    </w:p>
    <w:p>
      <w:pPr>
        <w:pStyle w:val="Heading1"/>
        <w:pBdr>
          <w:bottom w:val="single" w:color="1F3864" w:sz="8" w:space="4"/>
        </w:pBdr>
        <w:spacing w:after="160" w:before="360"/>
      </w:pPr>
      <w:r>
        <w:rPr>
          <w:rFonts w:ascii="Aptos" w:hAnsi="Aptos"/>
        </w:rPr>
        <w:t xml:space="preserve">6. Research Questions / Analytical Objectives</w:t>
      </w:r>
    </w:p>
    <w:p>
      <w:pPr>
        <w:spacing w:after="160" w:line="276"/>
      </w:pPr>
      <w:r>
        <w:rPr>
          <w:rFonts w:ascii="Aptos" w:cs="Calibri" w:eastAsia="Calibri" w:hAnsi="Aptos"/>
          <w:sz w:val="22"/>
          <w:szCs w:val="22"/>
        </w:rPr>
        <w:t xml:space="preserve">The following questions are specific enough to be answered with descriptive Python analysis and deliberately avoid prediction or causal claims:</w:t>
      </w:r>
    </w:p>
    <w:p>
      <w:pPr>
        <w:pStyle w:val="ListParagraph"/>
        <w:numPr>
          <w:ilvl w:val="0"/>
          <w:numId w:val="3"/>
        </w:numPr>
        <w:spacing w:after="80"/>
      </w:pPr>
      <w:r>
        <w:rPr>
          <w:rFonts w:ascii="Aptos" w:cs="Calibri" w:eastAsia="Calibri" w:hAnsi="Aptos"/>
          <w:sz w:val="22"/>
          <w:szCs w:val="22"/>
        </w:rPr>
        <w:t xml:space="preserve">How has the S&amp;P 500 index level moved over the selected historical study period?</w:t>
      </w:r>
    </w:p>
    <w:p>
      <w:pPr>
        <w:pStyle w:val="ListParagraph"/>
        <w:numPr>
          <w:ilvl w:val="0"/>
          <w:numId w:val="3"/>
        </w:numPr>
        <w:spacing w:after="80"/>
      </w:pPr>
      <w:r>
        <w:rPr>
          <w:rFonts w:ascii="Aptos" w:cs="Calibri" w:eastAsia="Calibri" w:hAnsi="Aptos"/>
          <w:sz w:val="22"/>
          <w:szCs w:val="22"/>
        </w:rPr>
        <w:t xml:space="preserve">How can daily and monthly S&amp;P 500 returns be calculated and summarized (mean, median, distribution)?</w:t>
      </w:r>
    </w:p>
    <w:p>
      <w:pPr>
        <w:pStyle w:val="ListParagraph"/>
        <w:numPr>
          <w:ilvl w:val="0"/>
          <w:numId w:val="3"/>
        </w:numPr>
        <w:spacing w:after="80"/>
      </w:pPr>
      <w:r>
        <w:rPr>
          <w:rFonts w:ascii="Aptos" w:cs="Calibri" w:eastAsia="Calibri" w:hAnsi="Aptos"/>
          <w:sz w:val="22"/>
          <w:szCs w:val="22"/>
        </w:rPr>
        <w:t xml:space="preserve">What does the standard deviation of returns, and a rolling volatility measure, indicate about changing market risk over time?</w:t>
      </w:r>
    </w:p>
    <w:p>
      <w:pPr>
        <w:pStyle w:val="ListParagraph"/>
        <w:numPr>
          <w:ilvl w:val="0"/>
          <w:numId w:val="3"/>
        </w:numPr>
        <w:spacing w:after="80"/>
      </w:pPr>
      <w:r>
        <w:rPr>
          <w:rFonts w:ascii="Aptos" w:cs="Calibri" w:eastAsia="Calibri" w:hAnsi="Aptos"/>
          <w:sz w:val="22"/>
          <w:szCs w:val="22"/>
        </w:rPr>
        <w:t xml:space="preserve">How has the 10-Year Treasury yield trended over the same period, and are there visually distinct regimes (e.g., rising vs. falling rate environments)?</w:t>
      </w:r>
    </w:p>
    <w:p>
      <w:pPr>
        <w:pStyle w:val="ListParagraph"/>
        <w:numPr>
          <w:ilvl w:val="0"/>
          <w:numId w:val="3"/>
        </w:numPr>
        <w:spacing w:after="80"/>
      </w:pPr>
      <w:r>
        <w:rPr>
          <w:rFonts w:ascii="Aptos" w:cs="Calibri" w:eastAsia="Calibri" w:hAnsi="Aptos"/>
          <w:sz w:val="22"/>
          <w:szCs w:val="22"/>
        </w:rPr>
        <w:t xml:space="preserve">How has inflation (CPI) changed over time, and what descriptive relationship — not causal — can be observed between inflation and equity-market behavior?</w:t>
      </w:r>
    </w:p>
    <w:p>
      <w:pPr>
        <w:pStyle w:val="ListParagraph"/>
        <w:numPr>
          <w:ilvl w:val="0"/>
          <w:numId w:val="3"/>
        </w:numPr>
        <w:spacing w:after="80"/>
      </w:pPr>
      <w:r>
        <w:rPr>
          <w:rFonts w:ascii="Aptos" w:cs="Calibri" w:eastAsia="Calibri" w:hAnsi="Aptos"/>
          <w:sz w:val="22"/>
          <w:szCs w:val="22"/>
        </w:rPr>
        <w:t xml:space="preserve">What data-quality issues (missing observations, mismatched frequencies, revisions, outliers) exist in the raw data, and how should they be handled?</w:t>
      </w:r>
    </w:p>
    <w:p>
      <w:pPr>
        <w:pStyle w:val="Heading1"/>
        <w:pBdr>
          <w:bottom w:val="single" w:color="1F3864" w:sz="8" w:space="4"/>
        </w:pBdr>
        <w:spacing w:after="160" w:before="360"/>
      </w:pPr>
      <w:r>
        <w:rPr>
          <w:rFonts w:ascii="Aptos" w:hAnsi="Aptos"/>
        </w:rPr>
        <w:t xml:space="preserve">7. Data Acquisition Plan</w:t>
      </w:r>
    </w:p>
    <w:p>
      <w:pPr>
        <w:spacing w:after="160" w:line="276"/>
      </w:pPr>
      <w:r>
        <w:rPr>
          <w:rFonts w:ascii="Aptos" w:cs="Calibri" w:eastAsia="Calibri" w:hAnsi="Aptos"/>
          <w:sz w:val="22"/>
          <w:szCs w:val="22"/>
        </w:rPr>
        <w:t xml:space="preserve">The acquisition process follows a fixed, documented sequence so that any team member can reproduce it:</w:t>
      </w:r>
    </w:p>
    <w:p>
      <w:pPr>
        <w:pStyle w:val="ListParagraph"/>
        <w:numPr>
          <w:ilvl w:val="0"/>
          <w:numId w:val="3"/>
        </w:numPr>
        <w:spacing w:after="80"/>
      </w:pPr>
      <w:r>
        <w:rPr>
          <w:rFonts w:ascii="Aptos" w:cs="Calibri" w:eastAsia="Calibri" w:hAnsi="Aptos"/>
          <w:sz w:val="22"/>
          <w:szCs w:val="22"/>
        </w:rPr>
        <w:t xml:space="preserve">Define the study period (recommended: 5–10 years for a first analysis, subject to supervisor confirmation).</w:t>
      </w:r>
    </w:p>
    <w:p>
      <w:pPr>
        <w:pStyle w:val="ListParagraph"/>
        <w:numPr>
          <w:ilvl w:val="0"/>
          <w:numId w:val="3"/>
        </w:numPr>
        <w:spacing w:after="80"/>
      </w:pPr>
      <w:r>
        <w:rPr>
          <w:rFonts w:ascii="Aptos" w:cs="Calibri" w:eastAsia="Calibri" w:hAnsi="Aptos"/>
          <w:sz w:val="22"/>
          <w:szCs w:val="22"/>
        </w:rPr>
        <w:t xml:space="preserve">Identify the required FRED series (SP500, DGS10, CPIAUCSL) and confirm units and frequency for each.</w:t>
      </w:r>
    </w:p>
    <w:p>
      <w:pPr>
        <w:pStyle w:val="ListParagraph"/>
        <w:numPr>
          <w:ilvl w:val="0"/>
          <w:numId w:val="3"/>
        </w:numPr>
        <w:spacing w:after="80"/>
      </w:pPr>
      <w:r>
        <w:rPr>
          <w:rFonts w:ascii="Aptos" w:cs="Calibri" w:eastAsia="Calibri" w:hAnsi="Aptos"/>
          <w:sz w:val="22"/>
          <w:szCs w:val="22"/>
        </w:rPr>
        <w:t xml:space="preserve">Retrieve each series via the FRED API (using the requests library or the fredapi wrapper) rather than manual download, to keep the process repeatable.</w:t>
      </w:r>
    </w:p>
    <w:p>
      <w:pPr>
        <w:pStyle w:val="ListParagraph"/>
        <w:numPr>
          <w:ilvl w:val="0"/>
          <w:numId w:val="3"/>
        </w:numPr>
        <w:spacing w:after="80"/>
      </w:pPr>
      <w:r>
        <w:rPr>
          <w:rFonts w:ascii="Aptos" w:cs="Calibri" w:eastAsia="Calibri" w:hAnsi="Aptos"/>
          <w:sz w:val="22"/>
          <w:szCs w:val="22"/>
        </w:rPr>
        <w:t xml:space="preserve">Record metadata for every dataset: source, series ID, units, frequency, date range, and retrieval date.</w:t>
      </w:r>
    </w:p>
    <w:p>
      <w:pPr>
        <w:pStyle w:val="ListParagraph"/>
        <w:numPr>
          <w:ilvl w:val="0"/>
          <w:numId w:val="3"/>
        </w:numPr>
        <w:spacing w:after="80"/>
      </w:pPr>
      <w:r>
        <w:rPr>
          <w:rFonts w:ascii="Aptos" w:cs="Calibri" w:eastAsia="Calibri" w:hAnsi="Aptos"/>
          <w:sz w:val="22"/>
          <w:szCs w:val="22"/>
        </w:rPr>
        <w:t xml:space="preserve">Save an untouched, raw copy of each dataset in data/raw/ before any cleaning is applied.</w:t>
      </w:r>
    </w:p>
    <w:p>
      <w:pPr>
        <w:pStyle w:val="ListParagraph"/>
        <w:numPr>
          <w:ilvl w:val="0"/>
          <w:numId w:val="3"/>
        </w:numPr>
        <w:spacing w:after="80"/>
      </w:pPr>
      <w:r>
        <w:rPr>
          <w:rFonts w:ascii="Aptos" w:cs="Calibri" w:eastAsia="Calibri" w:hAnsi="Aptos"/>
          <w:sz w:val="22"/>
          <w:szCs w:val="22"/>
        </w:rPr>
        <w:t xml:space="preserve">Load the raw data into pandas DataFrames for inspection.</w:t>
      </w:r>
    </w:p>
    <w:p>
      <w:pPr>
        <w:pStyle w:val="ListParagraph"/>
        <w:numPr>
          <w:ilvl w:val="0"/>
          <w:numId w:val="3"/>
        </w:numPr>
        <w:spacing w:after="80"/>
      </w:pPr>
      <w:r>
        <w:rPr>
          <w:rFonts w:ascii="Aptos" w:cs="Calibri" w:eastAsia="Calibri" w:hAnsi="Aptos"/>
          <w:sz w:val="22"/>
          <w:szCs w:val="22"/>
        </w:rPr>
        <w:t xml:space="preserve">Convert date fields to datetime and sort each series chronologically.</w:t>
      </w:r>
    </w:p>
    <w:p>
      <w:pPr>
        <w:pStyle w:val="ListParagraph"/>
        <w:numPr>
          <w:ilvl w:val="0"/>
          <w:numId w:val="3"/>
        </w:numPr>
        <w:spacing w:after="80"/>
      </w:pPr>
      <w:r>
        <w:rPr>
          <w:rFonts w:ascii="Aptos" w:cs="Calibri" w:eastAsia="Calibri" w:hAnsi="Aptos"/>
          <w:sz w:val="22"/>
          <w:szCs w:val="22"/>
        </w:rPr>
        <w:t xml:space="preserve">Validate the downloaded data against the source (spot-check a handful of known values).</w:t>
      </w:r>
    </w:p>
    <w:p>
      <w:pPr>
        <w:pStyle w:val="ListParagraph"/>
        <w:numPr>
          <w:ilvl w:val="0"/>
          <w:numId w:val="3"/>
        </w:numPr>
        <w:spacing w:after="80"/>
      </w:pPr>
      <w:r>
        <w:rPr>
          <w:rFonts w:ascii="Aptos" w:cs="Calibri" w:eastAsia="Calibri" w:hAnsi="Aptos"/>
          <w:sz w:val="22"/>
          <w:szCs w:val="22"/>
        </w:rPr>
        <w:t xml:space="preserve">Produce a clean, aligned analysis dataset in data/clean/, with every transformation documented in the notebook.</w:t>
      </w:r>
    </w:p>
    <w:p>
      <w:pPr>
        <w:pStyle w:val="Heading1"/>
        <w:pBdr>
          <w:bottom w:val="single" w:color="1F3864" w:sz="8" w:space="4"/>
        </w:pBdr>
        <w:spacing w:after="160" w:before="360"/>
      </w:pPr>
      <w:r>
        <w:rPr>
          <w:rFonts w:ascii="Aptos" w:hAnsi="Aptos"/>
        </w:rPr>
        <w:t xml:space="preserve">8. Data Cleaning &amp; Preprocessing Plan</w:t>
      </w:r>
    </w:p>
    <w:p>
      <w:pPr>
        <w:spacing w:after="160" w:line="276"/>
      </w:pPr>
      <w:r>
        <w:rPr>
          <w:rFonts w:ascii="Aptos" w:cs="Calibri" w:eastAsia="Calibri" w:hAnsi="Aptos"/>
          <w:sz w:val="22"/>
          <w:szCs w:val="22"/>
        </w:rPr>
        <w:t xml:space="preserve">Cleaning will be transparent and conservative: unusual observations are investigated before any decision is made about them, and no observation is deleted automatically.</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Issue</w:t>
            </w:r>
          </w:p>
        </w:tc>
        <w:tc>
          <w:tcPr>
            <w:tcW w:type="dxa" w:w="68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Planned Handling</w:t>
            </w:r>
          </w:p>
        </w:tc>
      </w:tr>
      <w:tr>
        <w:tc>
          <w:tcPr>
            <w:tcW w:type="dxa" w:w="2600"/>
            <w:tcMar>
              <w:top w:type="dxa" w:w="80"/>
              <w:left w:type="dxa" w:w="100"/>
              <w:bottom w:type="dxa" w:w="80"/>
              <w:right w:type="dxa" w:w="100"/>
            </w:tcMar>
            <w:vAlign w:val="center"/>
          </w:tcPr>
          <w:p>
            <w:r>
              <w:rPr>
                <w:rFonts w:ascii="Aptos" w:cs="Calibri" w:eastAsia="Calibri" w:hAnsi="Aptos"/>
                <w:sz w:val="18"/>
                <w:szCs w:val="20"/>
              </w:rPr>
              <w:t xml:space="preserve">Missing values</w:t>
            </w:r>
          </w:p>
        </w:tc>
        <w:tc>
          <w:tcPr>
            <w:tcW w:type="dxa" w:w="6800"/>
            <w:tcMar>
              <w:top w:type="dxa" w:w="80"/>
              <w:left w:type="dxa" w:w="100"/>
              <w:bottom w:type="dxa" w:w="80"/>
              <w:right w:type="dxa" w:w="100"/>
            </w:tcMar>
            <w:vAlign w:val="center"/>
          </w:tcPr>
          <w:p>
            <w:r>
              <w:rPr>
                <w:rFonts w:ascii="Aptos" w:cs="Calibri" w:eastAsia="Calibri" w:hAnsi="Aptos"/>
                <w:sz w:val="18"/>
                <w:szCs w:val="20"/>
              </w:rPr>
              <w:t xml:space="preserve">Count and visualize missing observations per series before deciding whether to interpolate, forward-fill, or leave gaps documented.</w:t>
            </w:r>
          </w:p>
        </w:tc>
      </w:tr>
      <w:tr>
        <w:tc>
          <w:tcPr>
            <w:tcW w:type="dxa" w:w="2600"/>
            <w:shd w:fill="EDEDED" w:val="clear"/>
            <w:tcMar>
              <w:top w:type="dxa" w:w="80"/>
              <w:left w:type="dxa" w:w="100"/>
              <w:bottom w:type="dxa" w:w="80"/>
              <w:right w:type="dxa" w:w="100"/>
            </w:tcMar>
            <w:vAlign w:val="center"/>
          </w:tcPr>
          <w:p>
            <w:r>
              <w:rPr>
                <w:rFonts w:ascii="Aptos" w:cs="Calibri" w:eastAsia="Calibri" w:hAnsi="Aptos"/>
                <w:sz w:val="18"/>
                <w:szCs w:val="20"/>
              </w:rPr>
              <w:t xml:space="preserve">Duplicate dates</w:t>
            </w:r>
          </w:p>
        </w:tc>
        <w:tc>
          <w:tcPr>
            <w:tcW w:type="dxa" w:w="6800"/>
            <w:shd w:fill="EDEDED" w:val="clear"/>
            <w:tcMar>
              <w:top w:type="dxa" w:w="80"/>
              <w:left w:type="dxa" w:w="100"/>
              <w:bottom w:type="dxa" w:w="80"/>
              <w:right w:type="dxa" w:w="100"/>
            </w:tcMar>
            <w:vAlign w:val="center"/>
          </w:tcPr>
          <w:p>
            <w:r>
              <w:rPr>
                <w:rFonts w:ascii="Aptos" w:cs="Calibri" w:eastAsia="Calibri" w:hAnsi="Aptos"/>
                <w:sz w:val="18"/>
                <w:szCs w:val="20"/>
              </w:rPr>
              <w:t xml:space="preserve">Check for and resolve duplicate date entries; retain the most authoritative value where duplicates exist.</w:t>
            </w:r>
          </w:p>
        </w:tc>
      </w:tr>
      <w:tr>
        <w:tc>
          <w:tcPr>
            <w:tcW w:type="dxa" w:w="2600"/>
            <w:tcMar>
              <w:top w:type="dxa" w:w="80"/>
              <w:left w:type="dxa" w:w="100"/>
              <w:bottom w:type="dxa" w:w="80"/>
              <w:right w:type="dxa" w:w="100"/>
            </w:tcMar>
            <w:vAlign w:val="center"/>
          </w:tcPr>
          <w:p>
            <w:r>
              <w:rPr>
                <w:rFonts w:ascii="Aptos" w:cs="Calibri" w:eastAsia="Calibri" w:hAnsi="Aptos"/>
                <w:sz w:val="18"/>
                <w:szCs w:val="20"/>
              </w:rPr>
              <w:t xml:space="preserve">Data types</w:t>
            </w:r>
          </w:p>
        </w:tc>
        <w:tc>
          <w:tcPr>
            <w:tcW w:type="dxa" w:w="6800"/>
            <w:tcMar>
              <w:top w:type="dxa" w:w="80"/>
              <w:left w:type="dxa" w:w="100"/>
              <w:bottom w:type="dxa" w:w="80"/>
              <w:right w:type="dxa" w:w="100"/>
            </w:tcMar>
            <w:vAlign w:val="center"/>
          </w:tcPr>
          <w:p>
            <w:r>
              <w:rPr>
                <w:rFonts w:ascii="Aptos" w:cs="Calibri" w:eastAsia="Calibri" w:hAnsi="Aptos"/>
                <w:sz w:val="18"/>
                <w:szCs w:val="20"/>
              </w:rPr>
              <w:t xml:space="preserve">Ensure date fields are true datetime objects and numeric fields are stored as numeric (not string) types.</w:t>
            </w:r>
          </w:p>
        </w:tc>
      </w:tr>
      <w:tr>
        <w:tc>
          <w:tcPr>
            <w:tcW w:type="dxa" w:w="2600"/>
            <w:shd w:fill="EDEDED" w:val="clear"/>
            <w:tcMar>
              <w:top w:type="dxa" w:w="80"/>
              <w:left w:type="dxa" w:w="100"/>
              <w:bottom w:type="dxa" w:w="80"/>
              <w:right w:type="dxa" w:w="100"/>
            </w:tcMar>
            <w:vAlign w:val="center"/>
          </w:tcPr>
          <w:p>
            <w:r>
              <w:rPr>
                <w:rFonts w:ascii="Aptos" w:cs="Calibri" w:eastAsia="Calibri" w:hAnsi="Aptos"/>
                <w:sz w:val="18"/>
                <w:szCs w:val="20"/>
              </w:rPr>
              <w:t xml:space="preserve">Chronological sorting</w:t>
            </w:r>
          </w:p>
        </w:tc>
        <w:tc>
          <w:tcPr>
            <w:tcW w:type="dxa" w:w="6800"/>
            <w:shd w:fill="EDEDED" w:val="clear"/>
            <w:tcMar>
              <w:top w:type="dxa" w:w="80"/>
              <w:left w:type="dxa" w:w="100"/>
              <w:bottom w:type="dxa" w:w="80"/>
              <w:right w:type="dxa" w:w="100"/>
            </w:tcMar>
            <w:vAlign w:val="center"/>
          </w:tcPr>
          <w:p>
            <w:r>
              <w:rPr>
                <w:rFonts w:ascii="Aptos" w:cs="Calibri" w:eastAsia="Calibri" w:hAnsi="Aptos"/>
                <w:sz w:val="18"/>
                <w:szCs w:val="20"/>
              </w:rPr>
              <w:t xml:space="preserve">Sort every series by date to guarantee correct return and rolling-window calculations.</w:t>
            </w:r>
          </w:p>
        </w:tc>
      </w:tr>
      <w:tr>
        <w:tc>
          <w:tcPr>
            <w:tcW w:type="dxa" w:w="2600"/>
            <w:tcMar>
              <w:top w:type="dxa" w:w="80"/>
              <w:left w:type="dxa" w:w="100"/>
              <w:bottom w:type="dxa" w:w="80"/>
              <w:right w:type="dxa" w:w="100"/>
            </w:tcMar>
            <w:vAlign w:val="center"/>
          </w:tcPr>
          <w:p>
            <w:r>
              <w:rPr>
                <w:rFonts w:ascii="Aptos" w:cs="Calibri" w:eastAsia="Calibri" w:hAnsi="Aptos"/>
                <w:sz w:val="18"/>
                <w:szCs w:val="20"/>
              </w:rPr>
              <w:t xml:space="preserve">Market holidays / non-trading days</w:t>
            </w:r>
          </w:p>
        </w:tc>
        <w:tc>
          <w:tcPr>
            <w:tcW w:type="dxa" w:w="6800"/>
            <w:tcMar>
              <w:top w:type="dxa" w:w="80"/>
              <w:left w:type="dxa" w:w="100"/>
              <w:bottom w:type="dxa" w:w="80"/>
              <w:right w:type="dxa" w:w="100"/>
            </w:tcMar>
            <w:vAlign w:val="center"/>
          </w:tcPr>
          <w:p>
            <w:r>
              <w:rPr>
                <w:rFonts w:ascii="Aptos" w:cs="Calibri" w:eastAsia="Calibri" w:hAnsi="Aptos"/>
                <w:sz w:val="18"/>
                <w:szCs w:val="20"/>
              </w:rPr>
              <w:t xml:space="preserve">Recognize that S&amp;P 500 data has no observations on weekends/holidays; avoid treating these as missing data.</w:t>
            </w:r>
          </w:p>
        </w:tc>
      </w:tr>
      <w:tr>
        <w:tc>
          <w:tcPr>
            <w:tcW w:type="dxa" w:w="2600"/>
            <w:shd w:fill="EDEDED" w:val="clear"/>
            <w:tcMar>
              <w:top w:type="dxa" w:w="80"/>
              <w:left w:type="dxa" w:w="100"/>
              <w:bottom w:type="dxa" w:w="80"/>
              <w:right w:type="dxa" w:w="100"/>
            </w:tcMar>
            <w:vAlign w:val="center"/>
          </w:tcPr>
          <w:p>
            <w:r>
              <w:rPr>
                <w:rFonts w:ascii="Aptos" w:cs="Calibri" w:eastAsia="Calibri" w:hAnsi="Aptos"/>
                <w:sz w:val="18"/>
                <w:szCs w:val="20"/>
              </w:rPr>
              <w:t xml:space="preserve">Frequency alignment</w:t>
            </w:r>
          </w:p>
        </w:tc>
        <w:tc>
          <w:tcPr>
            <w:tcW w:type="dxa" w:w="6800"/>
            <w:shd w:fill="EDEDED" w:val="clear"/>
            <w:tcMar>
              <w:top w:type="dxa" w:w="80"/>
              <w:left w:type="dxa" w:w="100"/>
              <w:bottom w:type="dxa" w:w="80"/>
              <w:right w:type="dxa" w:w="100"/>
            </w:tcMar>
            <w:vAlign w:val="center"/>
          </w:tcPr>
          <w:p>
            <w:r>
              <w:rPr>
                <w:rFonts w:ascii="Aptos" w:cs="Calibri" w:eastAsia="Calibri" w:hAnsi="Aptos"/>
                <w:sz w:val="18"/>
                <w:szCs w:val="20"/>
              </w:rPr>
              <w:t xml:space="preserve">Daily S&amp;P 500 and DGS10 data will not be treated as if monthly CPI were also daily. CPI (monthly) will instead be either up-sampled with a clearly stated, documented rule (e.g., forward-filled to daily) or the daily series will be down-sampled to month-end values for comparison — the chosen rule will be stated explicitly wherever CPI is compared to daily data.</w:t>
            </w:r>
          </w:p>
        </w:tc>
      </w:tr>
      <w:tr>
        <w:tc>
          <w:tcPr>
            <w:tcW w:type="dxa" w:w="2600"/>
            <w:tcMar>
              <w:top w:type="dxa" w:w="80"/>
              <w:left w:type="dxa" w:w="100"/>
              <w:bottom w:type="dxa" w:w="80"/>
              <w:right w:type="dxa" w:w="100"/>
            </w:tcMar>
            <w:vAlign w:val="center"/>
          </w:tcPr>
          <w:p>
            <w:r>
              <w:rPr>
                <w:rFonts w:ascii="Aptos" w:cs="Calibri" w:eastAsia="Calibri" w:hAnsi="Aptos"/>
                <w:sz w:val="18"/>
                <w:szCs w:val="20"/>
              </w:rPr>
              <w:t xml:space="preserve">Revisions</w:t>
            </w:r>
          </w:p>
        </w:tc>
        <w:tc>
          <w:tcPr>
            <w:tcW w:type="dxa" w:w="6800"/>
            <w:tcMar>
              <w:top w:type="dxa" w:w="80"/>
              <w:left w:type="dxa" w:w="100"/>
              <w:bottom w:type="dxa" w:w="80"/>
              <w:right w:type="dxa" w:w="100"/>
            </w:tcMar>
            <w:vAlign w:val="center"/>
          </w:tcPr>
          <w:p>
            <w:r>
              <w:rPr>
                <w:rFonts w:ascii="Aptos" w:cs="Calibri" w:eastAsia="Calibri" w:hAnsi="Aptos"/>
                <w:sz w:val="18"/>
                <w:szCs w:val="20"/>
              </w:rPr>
              <w:t xml:space="preserve">Note that CPI figures can be revised after initial release; the retrieval date will be recorded so any later discrepancy is explainable.</w:t>
            </w:r>
          </w:p>
        </w:tc>
      </w:tr>
      <w:tr>
        <w:tc>
          <w:tcPr>
            <w:tcW w:type="dxa" w:w="2600"/>
            <w:shd w:fill="EDEDED" w:val="clear"/>
            <w:tcMar>
              <w:top w:type="dxa" w:w="80"/>
              <w:left w:type="dxa" w:w="100"/>
              <w:bottom w:type="dxa" w:w="80"/>
              <w:right w:type="dxa" w:w="100"/>
            </w:tcMar>
            <w:vAlign w:val="center"/>
          </w:tcPr>
          <w:p>
            <w:r>
              <w:rPr>
                <w:rFonts w:ascii="Aptos" w:cs="Calibri" w:eastAsia="Calibri" w:hAnsi="Aptos"/>
                <w:sz w:val="18"/>
                <w:szCs w:val="20"/>
              </w:rPr>
              <w:t xml:space="preserve">Outliers / unusual observations</w:t>
            </w:r>
          </w:p>
        </w:tc>
        <w:tc>
          <w:tcPr>
            <w:tcW w:type="dxa" w:w="6800"/>
            <w:shd w:fill="EDEDED" w:val="clear"/>
            <w:tcMar>
              <w:top w:type="dxa" w:w="80"/>
              <w:left w:type="dxa" w:w="100"/>
              <w:bottom w:type="dxa" w:w="80"/>
              <w:right w:type="dxa" w:w="100"/>
            </w:tcMar>
            <w:vAlign w:val="center"/>
          </w:tcPr>
          <w:p>
            <w:r>
              <w:rPr>
                <w:rFonts w:ascii="Aptos" w:cs="Calibri" w:eastAsia="Calibri" w:hAnsi="Aptos"/>
                <w:sz w:val="18"/>
                <w:szCs w:val="20"/>
              </w:rPr>
              <w:t xml:space="preserve">Flag and visually inspect unusual observations (e.g., large single-day moves); investigate the underlying cause before deciding whether to keep, annotate, or exclude them. No automatic deletion.</w:t>
            </w:r>
          </w:p>
        </w:tc>
      </w:tr>
    </w:tbl>
    <w:p>
      <w:pPr>
        <w:pStyle w:val="Heading1"/>
        <w:pBdr>
          <w:bottom w:val="single" w:color="1F3864" w:sz="8" w:space="4"/>
        </w:pBdr>
        <w:spacing w:after="160" w:before="360"/>
      </w:pPr>
      <w:r>
        <w:rPr>
          <w:rFonts w:ascii="Aptos" w:hAnsi="Aptos"/>
        </w:rPr>
        <w:t xml:space="preserve">9. Preliminary Analysis / EDA Plan</w:t>
      </w:r>
    </w:p>
    <w:p>
      <w:pPr>
        <w:spacing w:after="160" w:line="276"/>
      </w:pPr>
      <w:r>
        <w:rPr>
          <w:rFonts w:ascii="Aptos" w:cs="Calibri" w:eastAsia="Calibri" w:hAnsi="Aptos"/>
          <w:sz w:val="22"/>
          <w:szCs w:val="22"/>
        </w:rPr>
        <w:t xml:space="preserve">The exploratory phase will produce descriptive statistics and a small, focused set of visualizations rather than an exhaustive analysis:</w:t>
      </w:r>
    </w:p>
    <w:p>
      <w:pPr>
        <w:pStyle w:val="Heading2"/>
        <w:spacing w:after="120" w:before="240"/>
      </w:pPr>
      <w:r>
        <w:rPr>
          <w:rFonts w:ascii="Aptos" w:hAnsi="Aptos"/>
        </w:rPr>
        <w:t xml:space="preserve">Planned Calculations</w:t>
      </w:r>
    </w:p>
    <w:p>
      <w:pPr>
        <w:pStyle w:val="ListParagraph"/>
        <w:numPr>
          <w:ilvl w:val="0"/>
          <w:numId w:val="2"/>
        </w:numPr>
        <w:spacing w:after="80"/>
      </w:pPr>
      <w:r>
        <w:rPr>
          <w:rFonts w:ascii="Aptos" w:cs="Calibri" w:eastAsia="Calibri" w:hAnsi="Aptos"/>
          <w:sz w:val="22"/>
          <w:szCs w:val="22"/>
        </w:rPr>
        <w:t xml:space="preserve">Descriptive statistics: count, mean, median, minimum, maximum, standard deviation, and selected percentiles for each series.</w:t>
      </w:r>
    </w:p>
    <w:p>
      <w:pPr>
        <w:pStyle w:val="ListParagraph"/>
        <w:numPr>
          <w:ilvl w:val="0"/>
          <w:numId w:val="2"/>
        </w:numPr>
        <w:spacing w:after="80"/>
      </w:pPr>
      <w:r>
        <w:rPr>
          <w:rFonts w:ascii="Aptos" w:cs="Calibri" w:eastAsia="Calibri" w:hAnsi="Aptos"/>
          <w:sz w:val="22"/>
          <w:szCs w:val="22"/>
        </w:rPr>
        <w:t xml:space="preserve">Simple return: Rt = (Pt / Pt−1) − 1, calculated on the S&amp;P 500 series at daily and monthly resolution.</w:t>
      </w:r>
    </w:p>
    <w:p>
      <w:pPr>
        <w:pStyle w:val="ListParagraph"/>
        <w:numPr>
          <w:ilvl w:val="0"/>
          <w:numId w:val="2"/>
        </w:numPr>
        <w:spacing w:after="80"/>
      </w:pPr>
      <w:r>
        <w:rPr>
          <w:rFonts w:ascii="Aptos" w:cs="Calibri" w:eastAsia="Calibri" w:hAnsi="Aptos"/>
          <w:sz w:val="22"/>
          <w:szCs w:val="22"/>
        </w:rPr>
        <w:t xml:space="preserve">Volatility: standard deviation of returns over the full period, plus a rolling volatility measure (e.g., 21-trading-day rolling standard deviation) to observe how risk changes over time.</w:t>
      </w:r>
    </w:p>
    <w:p>
      <w:pPr>
        <w:pStyle w:val="ListParagraph"/>
        <w:numPr>
          <w:ilvl w:val="0"/>
          <w:numId w:val="2"/>
        </w:numPr>
        <w:spacing w:after="80"/>
      </w:pPr>
      <w:r>
        <w:rPr>
          <w:rFonts w:ascii="Aptos" w:cs="Calibri" w:eastAsia="Calibri" w:hAnsi="Aptos"/>
          <w:sz w:val="22"/>
          <w:szCs w:val="22"/>
        </w:rPr>
        <w:t xml:space="preserve">Correlation: a simple descriptive correlation view between S&amp;P 500 returns, Treasury-yield changes, and CPI changes (explicitly framed as correlation, not causation).</w:t>
      </w:r>
    </w:p>
    <w:p>
      <w:pPr>
        <w:pStyle w:val="Heading2"/>
        <w:spacing w:after="120" w:before="240"/>
      </w:pPr>
      <w:r>
        <w:rPr>
          <w:rFonts w:ascii="Aptos" w:hAnsi="Aptos"/>
        </w:rPr>
        <w:t xml:space="preserve">Planned Visualizations (3–5 charts)</w:t>
      </w:r>
    </w:p>
    <w:p>
      <w:pPr>
        <w:pStyle w:val="ListParagraph"/>
        <w:numPr>
          <w:ilvl w:val="0"/>
          <w:numId w:val="2"/>
        </w:numPr>
        <w:spacing w:after="80"/>
      </w:pPr>
      <w:r>
        <w:rPr>
          <w:rFonts w:ascii="Aptos" w:cs="Calibri" w:eastAsia="Calibri" w:hAnsi="Aptos"/>
          <w:sz w:val="22"/>
          <w:szCs w:val="22"/>
        </w:rPr>
        <w:t xml:space="preserve">S&amp;P 500 index level over time (trend line).</w:t>
      </w:r>
    </w:p>
    <w:p>
      <w:pPr>
        <w:pStyle w:val="ListParagraph"/>
        <w:numPr>
          <w:ilvl w:val="0"/>
          <w:numId w:val="2"/>
        </w:numPr>
        <w:spacing w:after="80"/>
      </w:pPr>
      <w:r>
        <w:rPr>
          <w:rFonts w:ascii="Aptos" w:cs="Calibri" w:eastAsia="Calibri" w:hAnsi="Aptos"/>
          <w:sz w:val="22"/>
          <w:szCs w:val="22"/>
        </w:rPr>
        <w:t xml:space="preserve">S&amp;P 500 daily/monthly return series.</w:t>
      </w:r>
    </w:p>
    <w:p>
      <w:pPr>
        <w:pStyle w:val="ListParagraph"/>
        <w:numPr>
          <w:ilvl w:val="0"/>
          <w:numId w:val="2"/>
        </w:numPr>
        <w:spacing w:after="80"/>
      </w:pPr>
      <w:r>
        <w:rPr>
          <w:rFonts w:ascii="Aptos" w:cs="Calibri" w:eastAsia="Calibri" w:hAnsi="Aptos"/>
          <w:sz w:val="22"/>
          <w:szCs w:val="22"/>
        </w:rPr>
        <w:t xml:space="preserve">Rolling volatility of S&amp;P 500 returns.</w:t>
      </w:r>
    </w:p>
    <w:p>
      <w:pPr>
        <w:pStyle w:val="ListParagraph"/>
        <w:numPr>
          <w:ilvl w:val="0"/>
          <w:numId w:val="2"/>
        </w:numPr>
        <w:spacing w:after="80"/>
      </w:pPr>
      <w:r>
        <w:rPr>
          <w:rFonts w:ascii="Aptos" w:cs="Calibri" w:eastAsia="Calibri" w:hAnsi="Aptos"/>
          <w:sz w:val="22"/>
          <w:szCs w:val="22"/>
        </w:rPr>
        <w:t xml:space="preserve">10-Year Treasury yield trend over the same period.</w:t>
      </w:r>
    </w:p>
    <w:p>
      <w:pPr>
        <w:pStyle w:val="ListParagraph"/>
        <w:numPr>
          <w:ilvl w:val="0"/>
          <w:numId w:val="2"/>
        </w:numPr>
        <w:spacing w:after="80"/>
      </w:pPr>
      <w:r>
        <w:rPr>
          <w:rFonts w:ascii="Aptos" w:cs="Calibri" w:eastAsia="Calibri" w:hAnsi="Aptos"/>
          <w:sz w:val="22"/>
          <w:szCs w:val="22"/>
        </w:rPr>
        <w:t xml:space="preserve">CPI / inflation trend over the same period (optional 6th: a simple correlation heatmap or scatter view if time allows).</w:t>
      </w:r>
    </w:p>
    <w:p>
      <w:pPr>
        <w:spacing w:after="160" w:line="276"/>
      </w:pPr>
      <w:r>
        <w:rPr>
          <w:rFonts w:ascii="Aptos" w:cs="Calibri" w:eastAsia="Calibri" w:hAnsi="Aptos"/>
          <w:sz w:val="22"/>
          <w:szCs w:val="22"/>
        </w:rPr>
        <w:t xml:space="preserve">Each chart will be accompanied by a short written note explaining what the result does and does not show, so that preliminary observations are not mistaken for conclusions.</w:t>
      </w:r>
    </w:p>
    <w:p>
      <w:pPr>
        <w:pStyle w:val="Heading1"/>
        <w:pBdr>
          <w:bottom w:val="single" w:color="1F3864" w:sz="8" w:space="4"/>
        </w:pBdr>
        <w:spacing w:after="160" w:before="360"/>
      </w:pPr>
      <w:r>
        <w:rPr>
          <w:rFonts w:ascii="Aptos" w:hAnsi="Aptos"/>
        </w:rPr>
        <w:t xml:space="preserve">10. Python Tools &amp; Library Justification</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Tool / Library</w:t>
            </w:r>
          </w:p>
        </w:tc>
        <w:tc>
          <w:tcPr>
            <w:tcW w:type="dxa" w:w="34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Purpose</w:t>
            </w:r>
          </w:p>
        </w:tc>
        <w:tc>
          <w:tcPr>
            <w:tcW w:type="dxa" w:w="38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Why It Is Useful</w:t>
            </w:r>
          </w:p>
        </w:tc>
      </w:tr>
      <w:tr>
        <w:tc>
          <w:tcPr>
            <w:tcW w:type="dxa" w:w="2200"/>
            <w:tcMar>
              <w:top w:type="dxa" w:w="80"/>
              <w:left w:type="dxa" w:w="100"/>
              <w:bottom w:type="dxa" w:w="80"/>
              <w:right w:type="dxa" w:w="100"/>
            </w:tcMar>
            <w:vAlign w:val="center"/>
          </w:tcPr>
          <w:p>
            <w:r>
              <w:rPr>
                <w:rFonts w:ascii="Aptos" w:cs="Calibri" w:eastAsia="Calibri" w:hAnsi="Aptos"/>
                <w:sz w:val="18"/>
                <w:szCs w:val="20"/>
              </w:rPr>
              <w:t xml:space="preserve">Python</w:t>
            </w:r>
          </w:p>
        </w:tc>
        <w:tc>
          <w:tcPr>
            <w:tcW w:type="dxa" w:w="3400"/>
            <w:tcMar>
              <w:top w:type="dxa" w:w="80"/>
              <w:left w:type="dxa" w:w="100"/>
              <w:bottom w:type="dxa" w:w="80"/>
              <w:right w:type="dxa" w:w="100"/>
            </w:tcMar>
            <w:vAlign w:val="center"/>
          </w:tcPr>
          <w:p>
            <w:r>
              <w:rPr>
                <w:rFonts w:ascii="Aptos" w:cs="Calibri" w:eastAsia="Calibri" w:hAnsi="Aptos"/>
                <w:sz w:val="18"/>
                <w:szCs w:val="20"/>
              </w:rPr>
              <w:t xml:space="preserve">Core programming language</w:t>
            </w:r>
          </w:p>
        </w:tc>
        <w:tc>
          <w:tcPr>
            <w:tcW w:type="dxa" w:w="3800"/>
            <w:tcMar>
              <w:top w:type="dxa" w:w="80"/>
              <w:left w:type="dxa" w:w="100"/>
              <w:bottom w:type="dxa" w:w="80"/>
              <w:right w:type="dxa" w:w="100"/>
            </w:tcMar>
            <w:vAlign w:val="center"/>
          </w:tcPr>
          <w:p>
            <w:r>
              <w:rPr>
                <w:rFonts w:ascii="Aptos" w:cs="Calibri" w:eastAsia="Calibri" w:hAnsi="Aptos"/>
                <w:sz w:val="18"/>
                <w:szCs w:val="20"/>
              </w:rPr>
              <w:t xml:space="preserve">Reproducible, widely used in data analysis, and directly required by the internship.</w:t>
            </w:r>
          </w:p>
        </w:tc>
      </w:tr>
      <w:tr>
        <w:tc>
          <w:tcPr>
            <w:tcW w:type="dxa" w:w="2200"/>
            <w:shd w:fill="EDEDED" w:val="clear"/>
            <w:tcMar>
              <w:top w:type="dxa" w:w="80"/>
              <w:left w:type="dxa" w:w="100"/>
              <w:bottom w:type="dxa" w:w="80"/>
              <w:right w:type="dxa" w:w="100"/>
            </w:tcMar>
            <w:vAlign w:val="center"/>
          </w:tcPr>
          <w:p>
            <w:r>
              <w:rPr>
                <w:rFonts w:ascii="Aptos" w:cs="Calibri" w:eastAsia="Calibri" w:hAnsi="Aptos"/>
                <w:sz w:val="18"/>
                <w:szCs w:val="20"/>
              </w:rPr>
              <w:t xml:space="preserve">pandas</w:t>
            </w:r>
          </w:p>
        </w:tc>
        <w:tc>
          <w:tcPr>
            <w:tcW w:type="dxa" w:w="3400"/>
            <w:shd w:fill="EDEDED" w:val="clear"/>
            <w:tcMar>
              <w:top w:type="dxa" w:w="80"/>
              <w:left w:type="dxa" w:w="100"/>
              <w:bottom w:type="dxa" w:w="80"/>
              <w:right w:type="dxa" w:w="100"/>
            </w:tcMar>
            <w:vAlign w:val="center"/>
          </w:tcPr>
          <w:p>
            <w:r>
              <w:rPr>
                <w:rFonts w:ascii="Aptos" w:cs="Calibri" w:eastAsia="Calibri" w:hAnsi="Aptos"/>
                <w:sz w:val="18"/>
                <w:szCs w:val="20"/>
              </w:rPr>
              <w:t xml:space="preserve">Data loading, cleaning, merging, time-series operations</w:t>
            </w:r>
          </w:p>
        </w:tc>
        <w:tc>
          <w:tcPr>
            <w:tcW w:type="dxa" w:w="3800"/>
            <w:shd w:fill="EDEDED" w:val="clear"/>
            <w:tcMar>
              <w:top w:type="dxa" w:w="80"/>
              <w:left w:type="dxa" w:w="100"/>
              <w:bottom w:type="dxa" w:w="80"/>
              <w:right w:type="dxa" w:w="100"/>
            </w:tcMar>
            <w:vAlign w:val="center"/>
          </w:tcPr>
          <w:p>
            <w:r>
              <w:rPr>
                <w:rFonts w:ascii="Aptos" w:cs="Calibri" w:eastAsia="Calibri" w:hAnsi="Aptos"/>
                <w:sz w:val="18"/>
                <w:szCs w:val="20"/>
              </w:rPr>
              <w:t xml:space="preserve">DataFrame-based workflow makes date alignment, resampling, and cleaning straightforward and auditable.</w:t>
            </w:r>
          </w:p>
        </w:tc>
      </w:tr>
      <w:tr>
        <w:tc>
          <w:tcPr>
            <w:tcW w:type="dxa" w:w="2200"/>
            <w:tcMar>
              <w:top w:type="dxa" w:w="80"/>
              <w:left w:type="dxa" w:w="100"/>
              <w:bottom w:type="dxa" w:w="80"/>
              <w:right w:type="dxa" w:w="100"/>
            </w:tcMar>
            <w:vAlign w:val="center"/>
          </w:tcPr>
          <w:p>
            <w:r>
              <w:rPr>
                <w:rFonts w:ascii="Aptos" w:cs="Calibri" w:eastAsia="Calibri" w:hAnsi="Aptos"/>
                <w:sz w:val="18"/>
                <w:szCs w:val="20"/>
              </w:rPr>
              <w:t xml:space="preserve">NumPy</w:t>
            </w:r>
          </w:p>
        </w:tc>
        <w:tc>
          <w:tcPr>
            <w:tcW w:type="dxa" w:w="3400"/>
            <w:tcMar>
              <w:top w:type="dxa" w:w="80"/>
              <w:left w:type="dxa" w:w="100"/>
              <w:bottom w:type="dxa" w:w="80"/>
              <w:right w:type="dxa" w:w="100"/>
            </w:tcMar>
            <w:vAlign w:val="center"/>
          </w:tcPr>
          <w:p>
            <w:r>
              <w:rPr>
                <w:rFonts w:ascii="Aptos" w:cs="Calibri" w:eastAsia="Calibri" w:hAnsi="Aptos"/>
                <w:sz w:val="18"/>
                <w:szCs w:val="20"/>
              </w:rPr>
              <w:t xml:space="preserve">Numerical calculations</w:t>
            </w:r>
          </w:p>
        </w:tc>
        <w:tc>
          <w:tcPr>
            <w:tcW w:type="dxa" w:w="3800"/>
            <w:tcMar>
              <w:top w:type="dxa" w:w="80"/>
              <w:left w:type="dxa" w:w="100"/>
              <w:bottom w:type="dxa" w:w="80"/>
              <w:right w:type="dxa" w:w="100"/>
            </w:tcMar>
            <w:vAlign w:val="center"/>
          </w:tcPr>
          <w:p>
            <w:r>
              <w:rPr>
                <w:rFonts w:ascii="Aptos" w:cs="Calibri" w:eastAsia="Calibri" w:hAnsi="Aptos"/>
                <w:sz w:val="18"/>
                <w:szCs w:val="20"/>
              </w:rPr>
              <w:t xml:space="preserve">Efficient array operations underlying return and volatility calculations.</w:t>
            </w:r>
          </w:p>
        </w:tc>
      </w:tr>
      <w:tr>
        <w:tc>
          <w:tcPr>
            <w:tcW w:type="dxa" w:w="2200"/>
            <w:shd w:fill="EDEDED" w:val="clear"/>
            <w:tcMar>
              <w:top w:type="dxa" w:w="80"/>
              <w:left w:type="dxa" w:w="100"/>
              <w:bottom w:type="dxa" w:w="80"/>
              <w:right w:type="dxa" w:w="100"/>
            </w:tcMar>
            <w:vAlign w:val="center"/>
          </w:tcPr>
          <w:p>
            <w:r>
              <w:rPr>
                <w:rFonts w:ascii="Aptos" w:cs="Calibri" w:eastAsia="Calibri" w:hAnsi="Aptos"/>
                <w:sz w:val="18"/>
                <w:szCs w:val="20"/>
              </w:rPr>
              <w:t xml:space="preserve">Matplotlib</w:t>
            </w:r>
          </w:p>
        </w:tc>
        <w:tc>
          <w:tcPr>
            <w:tcW w:type="dxa" w:w="3400"/>
            <w:shd w:fill="EDEDED" w:val="clear"/>
            <w:tcMar>
              <w:top w:type="dxa" w:w="80"/>
              <w:left w:type="dxa" w:w="100"/>
              <w:bottom w:type="dxa" w:w="80"/>
              <w:right w:type="dxa" w:w="100"/>
            </w:tcMar>
            <w:vAlign w:val="center"/>
          </w:tcPr>
          <w:p>
            <w:r>
              <w:rPr>
                <w:rFonts w:ascii="Aptos" w:cs="Calibri" w:eastAsia="Calibri" w:hAnsi="Aptos"/>
                <w:sz w:val="18"/>
                <w:szCs w:val="20"/>
              </w:rPr>
              <w:t xml:space="preserve">Charts and visualizations</w:t>
            </w:r>
          </w:p>
        </w:tc>
        <w:tc>
          <w:tcPr>
            <w:tcW w:type="dxa" w:w="3800"/>
            <w:shd w:fill="EDEDED" w:val="clear"/>
            <w:tcMar>
              <w:top w:type="dxa" w:w="80"/>
              <w:left w:type="dxa" w:w="100"/>
              <w:bottom w:type="dxa" w:w="80"/>
              <w:right w:type="dxa" w:w="100"/>
            </w:tcMar>
            <w:vAlign w:val="center"/>
          </w:tcPr>
          <w:p>
            <w:r>
              <w:rPr>
                <w:rFonts w:ascii="Aptos" w:cs="Calibri" w:eastAsia="Calibri" w:hAnsi="Aptos"/>
                <w:sz w:val="18"/>
                <w:szCs w:val="20"/>
              </w:rPr>
              <w:t xml:space="preserve">Reliable, customizable plots suitable for a professional report.</w:t>
            </w:r>
          </w:p>
        </w:tc>
      </w:tr>
      <w:tr>
        <w:tc>
          <w:tcPr>
            <w:tcW w:type="dxa" w:w="2200"/>
            <w:tcMar>
              <w:top w:type="dxa" w:w="80"/>
              <w:left w:type="dxa" w:w="100"/>
              <w:bottom w:type="dxa" w:w="80"/>
              <w:right w:type="dxa" w:w="100"/>
            </w:tcMar>
            <w:vAlign w:val="center"/>
          </w:tcPr>
          <w:p>
            <w:r>
              <w:rPr>
                <w:rFonts w:ascii="Aptos" w:cs="Calibri" w:eastAsia="Calibri" w:hAnsi="Aptos"/>
                <w:sz w:val="18"/>
                <w:szCs w:val="20"/>
              </w:rPr>
              <w:t xml:space="preserve">seaborn</w:t>
            </w:r>
          </w:p>
        </w:tc>
        <w:tc>
          <w:tcPr>
            <w:tcW w:type="dxa" w:w="3400"/>
            <w:tcMar>
              <w:top w:type="dxa" w:w="80"/>
              <w:left w:type="dxa" w:w="100"/>
              <w:bottom w:type="dxa" w:w="80"/>
              <w:right w:type="dxa" w:w="100"/>
            </w:tcMar>
            <w:vAlign w:val="center"/>
          </w:tcPr>
          <w:p>
            <w:r>
              <w:rPr>
                <w:rFonts w:ascii="Aptos" w:cs="Calibri" w:eastAsia="Calibri" w:hAnsi="Aptos"/>
                <w:sz w:val="18"/>
                <w:szCs w:val="20"/>
              </w:rPr>
              <w:t xml:space="preserve">Statistical visualization</w:t>
            </w:r>
          </w:p>
        </w:tc>
        <w:tc>
          <w:tcPr>
            <w:tcW w:type="dxa" w:w="3800"/>
            <w:tcMar>
              <w:top w:type="dxa" w:w="80"/>
              <w:left w:type="dxa" w:w="100"/>
              <w:bottom w:type="dxa" w:w="80"/>
              <w:right w:type="dxa" w:w="100"/>
            </w:tcMar>
            <w:vAlign w:val="center"/>
          </w:tcPr>
          <w:p>
            <w:r>
              <w:rPr>
                <w:rFonts w:ascii="Aptos" w:cs="Calibri" w:eastAsia="Calibri" w:hAnsi="Aptos"/>
                <w:sz w:val="18"/>
                <w:szCs w:val="20"/>
              </w:rPr>
              <w:t xml:space="preserve">Cleaner default styling for distribution and correlation views, built on Matplotlib.</w:t>
            </w:r>
          </w:p>
        </w:tc>
      </w:tr>
      <w:tr>
        <w:tc>
          <w:tcPr>
            <w:tcW w:type="dxa" w:w="2200"/>
            <w:shd w:fill="EDEDED" w:val="clear"/>
            <w:tcMar>
              <w:top w:type="dxa" w:w="80"/>
              <w:left w:type="dxa" w:w="100"/>
              <w:bottom w:type="dxa" w:w="80"/>
              <w:right w:type="dxa" w:w="100"/>
            </w:tcMar>
            <w:vAlign w:val="center"/>
          </w:tcPr>
          <w:p>
            <w:r>
              <w:rPr>
                <w:rFonts w:ascii="Aptos" w:cs="Calibri" w:eastAsia="Calibri" w:hAnsi="Aptos"/>
                <w:sz w:val="18"/>
                <w:szCs w:val="20"/>
              </w:rPr>
              <w:t xml:space="preserve">requests / fredapi</w:t>
            </w:r>
          </w:p>
        </w:tc>
        <w:tc>
          <w:tcPr>
            <w:tcW w:type="dxa" w:w="3400"/>
            <w:shd w:fill="EDEDED" w:val="clear"/>
            <w:tcMar>
              <w:top w:type="dxa" w:w="80"/>
              <w:left w:type="dxa" w:w="100"/>
              <w:bottom w:type="dxa" w:w="80"/>
              <w:right w:type="dxa" w:w="100"/>
            </w:tcMar>
            <w:vAlign w:val="center"/>
          </w:tcPr>
          <w:p>
            <w:r>
              <w:rPr>
                <w:rFonts w:ascii="Aptos" w:cs="Calibri" w:eastAsia="Calibri" w:hAnsi="Aptos"/>
                <w:sz w:val="18"/>
                <w:szCs w:val="20"/>
              </w:rPr>
              <w:t xml:space="preserve">FRED API access</w:t>
            </w:r>
          </w:p>
        </w:tc>
        <w:tc>
          <w:tcPr>
            <w:tcW w:type="dxa" w:w="3800"/>
            <w:shd w:fill="EDEDED" w:val="clear"/>
            <w:tcMar>
              <w:top w:type="dxa" w:w="80"/>
              <w:left w:type="dxa" w:w="100"/>
              <w:bottom w:type="dxa" w:w="80"/>
              <w:right w:type="dxa" w:w="100"/>
            </w:tcMar>
            <w:vAlign w:val="center"/>
          </w:tcPr>
          <w:p>
            <w:r>
              <w:rPr>
                <w:rFonts w:ascii="Aptos" w:cs="Calibri" w:eastAsia="Calibri" w:hAnsi="Aptos"/>
                <w:sz w:val="18"/>
                <w:szCs w:val="20"/>
              </w:rPr>
              <w:t xml:space="preserve">Enables scripted, repeatable retrieval of FRED series instead of manual downloads.</w:t>
            </w:r>
          </w:p>
        </w:tc>
      </w:tr>
      <w:tr>
        <w:tc>
          <w:tcPr>
            <w:tcW w:type="dxa" w:w="2200"/>
            <w:tcMar>
              <w:top w:type="dxa" w:w="80"/>
              <w:left w:type="dxa" w:w="100"/>
              <w:bottom w:type="dxa" w:w="80"/>
              <w:right w:type="dxa" w:w="100"/>
            </w:tcMar>
            <w:vAlign w:val="center"/>
          </w:tcPr>
          <w:p>
            <w:r>
              <w:rPr>
                <w:rFonts w:ascii="Aptos" w:cs="Calibri" w:eastAsia="Calibri" w:hAnsi="Aptos"/>
                <w:sz w:val="18"/>
                <w:szCs w:val="20"/>
              </w:rPr>
              <w:t xml:space="preserve">yfinance</w:t>
            </w:r>
          </w:p>
        </w:tc>
        <w:tc>
          <w:tcPr>
            <w:tcW w:type="dxa" w:w="3400"/>
            <w:tcMar>
              <w:top w:type="dxa" w:w="80"/>
              <w:left w:type="dxa" w:w="100"/>
              <w:bottom w:type="dxa" w:w="80"/>
              <w:right w:type="dxa" w:w="100"/>
            </w:tcMar>
            <w:vAlign w:val="center"/>
          </w:tcPr>
          <w:p>
            <w:r>
              <w:rPr>
                <w:rFonts w:ascii="Aptos" w:cs="Calibri" w:eastAsia="Calibri" w:hAnsi="Aptos"/>
                <w:sz w:val="18"/>
                <w:szCs w:val="20"/>
              </w:rPr>
              <w:t xml:space="preserve">Secondary market-data access</w:t>
            </w:r>
          </w:p>
        </w:tc>
        <w:tc>
          <w:tcPr>
            <w:tcW w:type="dxa" w:w="3800"/>
            <w:tcMar>
              <w:top w:type="dxa" w:w="80"/>
              <w:left w:type="dxa" w:w="100"/>
              <w:bottom w:type="dxa" w:w="80"/>
              <w:right w:type="dxa" w:w="100"/>
            </w:tcMar>
            <w:vAlign w:val="center"/>
          </w:tcPr>
          <w:p>
            <w:r>
              <w:rPr>
                <w:rFonts w:ascii="Aptos" w:cs="Calibri" w:eastAsia="Calibri" w:hAnsi="Aptos"/>
                <w:sz w:val="18"/>
                <w:szCs w:val="20"/>
              </w:rPr>
              <w:t xml:space="preserve">Optional ticker-level retrieval from Yahoo Finance if index-level FRED data is insufficient.</w:t>
            </w:r>
          </w:p>
        </w:tc>
      </w:tr>
      <w:tr>
        <w:tc>
          <w:tcPr>
            <w:tcW w:type="dxa" w:w="2200"/>
            <w:shd w:fill="EDEDED" w:val="clear"/>
            <w:tcMar>
              <w:top w:type="dxa" w:w="80"/>
              <w:left w:type="dxa" w:w="100"/>
              <w:bottom w:type="dxa" w:w="80"/>
              <w:right w:type="dxa" w:w="100"/>
            </w:tcMar>
            <w:vAlign w:val="center"/>
          </w:tcPr>
          <w:p>
            <w:r>
              <w:rPr>
                <w:rFonts w:ascii="Aptos" w:cs="Calibri" w:eastAsia="Calibri" w:hAnsi="Aptos"/>
                <w:sz w:val="18"/>
                <w:szCs w:val="20"/>
              </w:rPr>
              <w:t xml:space="preserve">Jupyter Notebook</w:t>
            </w:r>
          </w:p>
        </w:tc>
        <w:tc>
          <w:tcPr>
            <w:tcW w:type="dxa" w:w="3400"/>
            <w:shd w:fill="EDEDED" w:val="clear"/>
            <w:tcMar>
              <w:top w:type="dxa" w:w="80"/>
              <w:left w:type="dxa" w:w="100"/>
              <w:bottom w:type="dxa" w:w="80"/>
              <w:right w:type="dxa" w:w="100"/>
            </w:tcMar>
            <w:vAlign w:val="center"/>
          </w:tcPr>
          <w:p>
            <w:r>
              <w:rPr>
                <w:rFonts w:ascii="Aptos" w:cs="Calibri" w:eastAsia="Calibri" w:hAnsi="Aptos"/>
                <w:sz w:val="18"/>
                <w:szCs w:val="20"/>
              </w:rPr>
              <w:t xml:space="preserve">Analysis record</w:t>
            </w:r>
          </w:p>
        </w:tc>
        <w:tc>
          <w:tcPr>
            <w:tcW w:type="dxa" w:w="3800"/>
            <w:shd w:fill="EDEDED" w:val="clear"/>
            <w:tcMar>
              <w:top w:type="dxa" w:w="80"/>
              <w:left w:type="dxa" w:w="100"/>
              <w:bottom w:type="dxa" w:w="80"/>
              <w:right w:type="dxa" w:w="100"/>
            </w:tcMar>
            <w:vAlign w:val="center"/>
          </w:tcPr>
          <w:p>
            <w:r>
              <w:rPr>
                <w:rFonts w:ascii="Aptos" w:cs="Calibri" w:eastAsia="Calibri" w:hAnsi="Aptos"/>
                <w:sz w:val="18"/>
                <w:szCs w:val="20"/>
              </w:rPr>
              <w:t xml:space="preserve">Combines code, output, and explanation in a single reviewable, reproducible document.</w:t>
            </w:r>
          </w:p>
        </w:tc>
      </w:tr>
    </w:tbl>
    <w:p>
      <w:pPr>
        <w:pStyle w:val="Heading1"/>
        <w:pBdr>
          <w:bottom w:val="single" w:color="1F3864" w:sz="8" w:space="4"/>
        </w:pBdr>
        <w:spacing w:after="160" w:before="360"/>
      </w:pPr>
      <w:r>
        <w:rPr>
          <w:rFonts w:ascii="Aptos" w:hAnsi="Aptos"/>
        </w:rPr>
        <w:t xml:space="preserve">11. Week 1 Timeline &amp; Milestones</w:t>
      </w:r>
    </w:p>
    <w:p>
      <w:pPr>
        <w:spacing w:after="160" w:line="276"/>
      </w:pPr>
      <w:r>
        <w:rPr>
          <w:rFonts w:ascii="Aptos" w:cs="Calibri" w:eastAsia="Calibri" w:hAnsi="Aptos"/>
          <w:sz w:val="22"/>
          <w:szCs w:val="22"/>
        </w:rPr>
        <w:t xml:space="preserve">The plan targets approximately 34 hours across five working days, matching the required 30–35 hour range.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900"/>
        <w:gridCol w:w="1900"/>
        <w:gridCol w:w="1800"/>
      </w:tblGrid>
      <w:tr>
        <w:trPr>
          <w:tblHeader/>
        </w:trPr>
        <w:tc>
          <w:tcPr>
            <w:tcW w:type="dxa" w:w="11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Day</w:t>
            </w:r>
          </w:p>
        </w:tc>
        <w:tc>
          <w:tcPr>
            <w:tcW w:type="dxa" w:w="36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Tasks</w:t>
            </w:r>
          </w:p>
        </w:tc>
        <w:tc>
          <w:tcPr>
            <w:tcW w:type="dxa" w:w="9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Hours</w:t>
            </w:r>
          </w:p>
        </w:tc>
        <w:tc>
          <w:tcPr>
            <w:tcW w:type="dxa" w:w="19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Expected Output</w:t>
            </w:r>
          </w:p>
        </w:tc>
        <w:tc>
          <w:tcPr>
            <w:tcW w:type="dxa" w:w="1800"/>
            <w:shd w:fill="1F3864" w:val="clear"/>
            <w:tcMar>
              <w:top w:type="dxa" w:w="80"/>
              <w:left w:type="dxa" w:w="100"/>
              <w:bottom w:type="dxa" w:w="80"/>
              <w:right w:type="dxa" w:w="100"/>
            </w:tcMar>
            <w:vAlign w:val="center"/>
          </w:tcPr>
          <w:p>
            <w:r>
              <w:rPr>
                <w:rFonts w:ascii="Aptos" w:cs="Calibri" w:eastAsia="Calibri" w:hAnsi="Aptos"/>
                <w:b/>
                <w:bCs/>
                <w:color w:val="FFFFFF"/>
                <w:sz w:val="18"/>
                <w:szCs w:val="20"/>
              </w:rPr>
              <w:t xml:space="preserve">Milestone</w:t>
            </w:r>
          </w:p>
        </w:tc>
      </w:tr>
      <w:tr>
        <w:tc>
          <w:tcPr>
            <w:tcW w:type="dxa" w:w="1100"/>
            <w:tcMar>
              <w:top w:type="dxa" w:w="80"/>
              <w:left w:type="dxa" w:w="100"/>
              <w:bottom w:type="dxa" w:w="80"/>
              <w:right w:type="dxa" w:w="100"/>
            </w:tcMar>
            <w:vAlign w:val="center"/>
          </w:tcPr>
          <w:p>
            <w:r>
              <w:rPr>
                <w:rFonts w:ascii="Aptos" w:cs="Calibri" w:eastAsia="Calibri" w:hAnsi="Aptos"/>
                <w:sz w:val="18"/>
                <w:szCs w:val="20"/>
              </w:rPr>
              <w:t xml:space="preserve">Day 1</w:t>
            </w:r>
          </w:p>
        </w:tc>
        <w:tc>
          <w:tcPr>
            <w:tcW w:type="dxa" w:w="3600"/>
            <w:tcMar>
              <w:top w:type="dxa" w:w="80"/>
              <w:left w:type="dxa" w:w="100"/>
              <w:bottom w:type="dxa" w:w="80"/>
              <w:right w:type="dxa" w:w="100"/>
            </w:tcMar>
            <w:vAlign w:val="center"/>
          </w:tcPr>
          <w:p>
            <w:r>
              <w:rPr>
                <w:rFonts w:ascii="Aptos" w:cs="Calibri" w:eastAsia="Calibri" w:hAnsi="Aptos"/>
                <w:sz w:val="18"/>
                <w:szCs w:val="20"/>
              </w:rPr>
              <w:t xml:space="preserve">Understand assignment &amp; requirements; define project scope; research and document public data sources</w:t>
            </w:r>
          </w:p>
        </w:tc>
        <w:tc>
          <w:tcPr>
            <w:tcW w:type="dxa" w:w="900"/>
            <w:tcMar>
              <w:top w:type="dxa" w:w="80"/>
              <w:left w:type="dxa" w:w="100"/>
              <w:bottom w:type="dxa" w:w="80"/>
              <w:right w:type="dxa" w:w="100"/>
            </w:tcMar>
            <w:vAlign w:val="center"/>
          </w:tcPr>
          <w:p>
            <w:r>
              <w:rPr>
                <w:rFonts w:ascii="Aptos" w:cs="Calibri" w:eastAsia="Calibri" w:hAnsi="Aptos"/>
                <w:sz w:val="18"/>
                <w:szCs w:val="20"/>
              </w:rPr>
              <w:t xml:space="preserve">7</w:t>
            </w:r>
          </w:p>
        </w:tc>
        <w:tc>
          <w:tcPr>
            <w:tcW w:type="dxa" w:w="1900"/>
            <w:tcMar>
              <w:top w:type="dxa" w:w="80"/>
              <w:left w:type="dxa" w:w="100"/>
              <w:bottom w:type="dxa" w:w="80"/>
              <w:right w:type="dxa" w:w="100"/>
            </w:tcMar>
            <w:vAlign w:val="center"/>
          </w:tcPr>
          <w:p>
            <w:r>
              <w:rPr>
                <w:rFonts w:ascii="Aptos" w:cs="Calibri" w:eastAsia="Calibri" w:hAnsi="Aptos"/>
                <w:sz w:val="18"/>
                <w:szCs w:val="20"/>
              </w:rPr>
              <w:t xml:space="preserve">Written scope, objectives, and source comparison table</w:t>
            </w:r>
          </w:p>
        </w:tc>
        <w:tc>
          <w:tcPr>
            <w:tcW w:type="dxa" w:w="1800"/>
            <w:tcMar>
              <w:top w:type="dxa" w:w="80"/>
              <w:left w:type="dxa" w:w="100"/>
              <w:bottom w:type="dxa" w:w="80"/>
              <w:right w:type="dxa" w:w="100"/>
            </w:tcMar>
            <w:vAlign w:val="center"/>
          </w:tcPr>
          <w:p>
            <w:r>
              <w:rPr>
                <w:rFonts w:ascii="Aptos" w:cs="Calibri" w:eastAsia="Calibri" w:hAnsi="Aptos"/>
                <w:sz w:val="18"/>
                <w:szCs w:val="20"/>
              </w:rPr>
              <w:t xml:space="preserve">Scope &amp; Sources Confirmed</w:t>
            </w:r>
          </w:p>
        </w:tc>
      </w:tr>
      <w:tr>
        <w:tc>
          <w:tcPr>
            <w:tcW w:type="dxa" w:w="1100"/>
            <w:shd w:fill="EDEDED" w:val="clear"/>
            <w:tcMar>
              <w:top w:type="dxa" w:w="80"/>
              <w:left w:type="dxa" w:w="100"/>
              <w:bottom w:type="dxa" w:w="80"/>
              <w:right w:type="dxa" w:w="100"/>
            </w:tcMar>
            <w:vAlign w:val="center"/>
          </w:tcPr>
          <w:p>
            <w:r>
              <w:rPr>
                <w:rFonts w:ascii="Aptos" w:cs="Calibri" w:eastAsia="Calibri" w:hAnsi="Aptos"/>
                <w:sz w:val="18"/>
                <w:szCs w:val="20"/>
              </w:rPr>
              <w:t xml:space="preserve">Day 2</w:t>
            </w:r>
          </w:p>
        </w:tc>
        <w:tc>
          <w:tcPr>
            <w:tcW w:type="dxa" w:w="3600"/>
            <w:shd w:fill="EDEDED" w:val="clear"/>
            <w:tcMar>
              <w:top w:type="dxa" w:w="80"/>
              <w:left w:type="dxa" w:w="100"/>
              <w:bottom w:type="dxa" w:w="80"/>
              <w:right w:type="dxa" w:w="100"/>
            </w:tcMar>
            <w:vAlign w:val="center"/>
          </w:tcPr>
          <w:p>
            <w:r>
              <w:rPr>
                <w:rFonts w:ascii="Aptos" w:cs="Calibri" w:eastAsia="Calibri" w:hAnsi="Aptos"/>
                <w:sz w:val="18"/>
                <w:szCs w:val="20"/>
              </w:rPr>
              <w:t xml:space="preserve">Set up Python/Jupyter environment; acquire raw datasets via the FRED API</w:t>
            </w:r>
          </w:p>
        </w:tc>
        <w:tc>
          <w:tcPr>
            <w:tcW w:type="dxa" w:w="900"/>
            <w:shd w:fill="EDEDED" w:val="clear"/>
            <w:tcMar>
              <w:top w:type="dxa" w:w="80"/>
              <w:left w:type="dxa" w:w="100"/>
              <w:bottom w:type="dxa" w:w="80"/>
              <w:right w:type="dxa" w:w="100"/>
            </w:tcMar>
            <w:vAlign w:val="center"/>
          </w:tcPr>
          <w:p>
            <w:r>
              <w:rPr>
                <w:rFonts w:ascii="Aptos" w:cs="Calibri" w:eastAsia="Calibri" w:hAnsi="Aptos"/>
                <w:sz w:val="18"/>
                <w:szCs w:val="20"/>
              </w:rPr>
              <w:t xml:space="preserve">7</w:t>
            </w:r>
          </w:p>
        </w:tc>
        <w:tc>
          <w:tcPr>
            <w:tcW w:type="dxa" w:w="1900"/>
            <w:shd w:fill="EDEDED" w:val="clear"/>
            <w:tcMar>
              <w:top w:type="dxa" w:w="80"/>
              <w:left w:type="dxa" w:w="100"/>
              <w:bottom w:type="dxa" w:w="80"/>
              <w:right w:type="dxa" w:w="100"/>
            </w:tcMar>
            <w:vAlign w:val="center"/>
          </w:tcPr>
          <w:p>
            <w:r>
              <w:rPr>
                <w:rFonts w:ascii="Aptos" w:cs="Calibri" w:eastAsia="Calibri" w:hAnsi="Aptos"/>
                <w:sz w:val="18"/>
                <w:szCs w:val="20"/>
              </w:rPr>
              <w:t xml:space="preserve">Working project folder/notebook; raw CSV outputs; retrieval log</w:t>
            </w:r>
          </w:p>
        </w:tc>
        <w:tc>
          <w:tcPr>
            <w:tcW w:type="dxa" w:w="1800"/>
            <w:shd w:fill="EDEDED" w:val="clear"/>
            <w:tcMar>
              <w:top w:type="dxa" w:w="80"/>
              <w:left w:type="dxa" w:w="100"/>
              <w:bottom w:type="dxa" w:w="80"/>
              <w:right w:type="dxa" w:w="100"/>
            </w:tcMar>
            <w:vAlign w:val="center"/>
          </w:tcPr>
          <w:p>
            <w:r>
              <w:rPr>
                <w:rFonts w:ascii="Aptos" w:cs="Calibri" w:eastAsia="Calibri" w:hAnsi="Aptos"/>
                <w:sz w:val="18"/>
                <w:szCs w:val="20"/>
              </w:rPr>
              <w:t xml:space="preserve">Data Acquisition Complete</w:t>
            </w:r>
          </w:p>
        </w:tc>
      </w:tr>
      <w:tr>
        <w:tc>
          <w:tcPr>
            <w:tcW w:type="dxa" w:w="1100"/>
            <w:tcMar>
              <w:top w:type="dxa" w:w="80"/>
              <w:left w:type="dxa" w:w="100"/>
              <w:bottom w:type="dxa" w:w="80"/>
              <w:right w:type="dxa" w:w="100"/>
            </w:tcMar>
            <w:vAlign w:val="center"/>
          </w:tcPr>
          <w:p>
            <w:r>
              <w:rPr>
                <w:rFonts w:ascii="Aptos" w:cs="Calibri" w:eastAsia="Calibri" w:hAnsi="Aptos"/>
                <w:sz w:val="18"/>
                <w:szCs w:val="20"/>
              </w:rPr>
              <w:t xml:space="preserve">Day 3</w:t>
            </w:r>
          </w:p>
        </w:tc>
        <w:tc>
          <w:tcPr>
            <w:tcW w:type="dxa" w:w="3600"/>
            <w:tcMar>
              <w:top w:type="dxa" w:w="80"/>
              <w:left w:type="dxa" w:w="100"/>
              <w:bottom w:type="dxa" w:w="80"/>
              <w:right w:type="dxa" w:w="100"/>
            </w:tcMar>
            <w:vAlign w:val="center"/>
          </w:tcPr>
          <w:p>
            <w:r>
              <w:rPr>
                <w:rFonts w:ascii="Aptos" w:cs="Calibri" w:eastAsia="Calibri" w:hAnsi="Aptos"/>
                <w:sz w:val="18"/>
                <w:szCs w:val="20"/>
              </w:rPr>
              <w:t xml:space="preserve">Perform data-quality checks; build and apply the cleaning plan</w:t>
            </w:r>
          </w:p>
        </w:tc>
        <w:tc>
          <w:tcPr>
            <w:tcW w:type="dxa" w:w="900"/>
            <w:tcMar>
              <w:top w:type="dxa" w:w="80"/>
              <w:left w:type="dxa" w:w="100"/>
              <w:bottom w:type="dxa" w:w="80"/>
              <w:right w:type="dxa" w:w="100"/>
            </w:tcMar>
            <w:vAlign w:val="center"/>
          </w:tcPr>
          <w:p>
            <w:r>
              <w:rPr>
                <w:rFonts w:ascii="Aptos" w:cs="Calibri" w:eastAsia="Calibri" w:hAnsi="Aptos"/>
                <w:sz w:val="18"/>
                <w:szCs w:val="20"/>
              </w:rPr>
              <w:t xml:space="preserve">7</w:t>
            </w:r>
          </w:p>
        </w:tc>
        <w:tc>
          <w:tcPr>
            <w:tcW w:type="dxa" w:w="1900"/>
            <w:tcMar>
              <w:top w:type="dxa" w:w="80"/>
              <w:left w:type="dxa" w:w="100"/>
              <w:bottom w:type="dxa" w:w="80"/>
              <w:right w:type="dxa" w:w="100"/>
            </w:tcMar>
            <w:vAlign w:val="center"/>
          </w:tcPr>
          <w:p>
            <w:r>
              <w:rPr>
                <w:rFonts w:ascii="Aptos" w:cs="Calibri" w:eastAsia="Calibri" w:hAnsi="Aptos"/>
                <w:sz w:val="18"/>
                <w:szCs w:val="20"/>
              </w:rPr>
              <w:t xml:space="preserve">Quality checklist; clean, aligned analysis dataset</w:t>
            </w:r>
          </w:p>
        </w:tc>
        <w:tc>
          <w:tcPr>
            <w:tcW w:type="dxa" w:w="1800"/>
            <w:tcMar>
              <w:top w:type="dxa" w:w="80"/>
              <w:left w:type="dxa" w:w="100"/>
              <w:bottom w:type="dxa" w:w="80"/>
              <w:right w:type="dxa" w:w="100"/>
            </w:tcMar>
            <w:vAlign w:val="center"/>
          </w:tcPr>
          <w:p>
            <w:r>
              <w:rPr>
                <w:rFonts w:ascii="Aptos" w:cs="Calibri" w:eastAsia="Calibri" w:hAnsi="Aptos"/>
                <w:sz w:val="18"/>
                <w:szCs w:val="20"/>
              </w:rPr>
              <w:t xml:space="preserve">Cleaning Plan Ready</w:t>
            </w:r>
          </w:p>
        </w:tc>
      </w:tr>
      <w:tr>
        <w:tc>
          <w:tcPr>
            <w:tcW w:type="dxa" w:w="1100"/>
            <w:shd w:fill="EDEDED" w:val="clear"/>
            <w:tcMar>
              <w:top w:type="dxa" w:w="80"/>
              <w:left w:type="dxa" w:w="100"/>
              <w:bottom w:type="dxa" w:w="80"/>
              <w:right w:type="dxa" w:w="100"/>
            </w:tcMar>
            <w:vAlign w:val="center"/>
          </w:tcPr>
          <w:p>
            <w:r>
              <w:rPr>
                <w:rFonts w:ascii="Aptos" w:cs="Calibri" w:eastAsia="Calibri" w:hAnsi="Aptos"/>
                <w:sz w:val="18"/>
                <w:szCs w:val="20"/>
              </w:rPr>
              <w:t xml:space="preserve">Day 4</w:t>
            </w:r>
          </w:p>
        </w:tc>
        <w:tc>
          <w:tcPr>
            <w:tcW w:type="dxa" w:w="3600"/>
            <w:shd w:fill="EDEDED" w:val="clear"/>
            <w:tcMar>
              <w:top w:type="dxa" w:w="80"/>
              <w:left w:type="dxa" w:w="100"/>
              <w:bottom w:type="dxa" w:w="80"/>
              <w:right w:type="dxa" w:w="100"/>
            </w:tcMar>
            <w:vAlign w:val="center"/>
          </w:tcPr>
          <w:p>
            <w:r>
              <w:rPr>
                <w:rFonts w:ascii="Aptos" w:cs="Calibri" w:eastAsia="Calibri" w:hAnsi="Aptos"/>
                <w:sz w:val="18"/>
                <w:szCs w:val="20"/>
              </w:rPr>
              <w:t xml:space="preserve">Compute descriptive statistics, returns, and volatility; produce visualizations</w:t>
            </w:r>
          </w:p>
        </w:tc>
        <w:tc>
          <w:tcPr>
            <w:tcW w:type="dxa" w:w="900"/>
            <w:shd w:fill="EDEDED" w:val="clear"/>
            <w:tcMar>
              <w:top w:type="dxa" w:w="80"/>
              <w:left w:type="dxa" w:w="100"/>
              <w:bottom w:type="dxa" w:w="80"/>
              <w:right w:type="dxa" w:w="100"/>
            </w:tcMar>
            <w:vAlign w:val="center"/>
          </w:tcPr>
          <w:p>
            <w:r>
              <w:rPr>
                <w:rFonts w:ascii="Aptos" w:cs="Calibri" w:eastAsia="Calibri" w:hAnsi="Aptos"/>
                <w:sz w:val="18"/>
                <w:szCs w:val="20"/>
              </w:rPr>
              <w:t xml:space="preserve">7</w:t>
            </w:r>
          </w:p>
        </w:tc>
        <w:tc>
          <w:tcPr>
            <w:tcW w:type="dxa" w:w="1900"/>
            <w:shd w:fill="EDEDED" w:val="clear"/>
            <w:tcMar>
              <w:top w:type="dxa" w:w="80"/>
              <w:left w:type="dxa" w:w="100"/>
              <w:bottom w:type="dxa" w:w="80"/>
              <w:right w:type="dxa" w:w="100"/>
            </w:tcMar>
            <w:vAlign w:val="center"/>
          </w:tcPr>
          <w:p>
            <w:r>
              <w:rPr>
                <w:rFonts w:ascii="Aptos" w:cs="Calibri" w:eastAsia="Calibri" w:hAnsi="Aptos"/>
                <w:sz w:val="18"/>
                <w:szCs w:val="20"/>
              </w:rPr>
              <w:t xml:space="preserve">Summary statistics; 3–5 core charts with notes</w:t>
            </w:r>
          </w:p>
        </w:tc>
        <w:tc>
          <w:tcPr>
            <w:tcW w:type="dxa" w:w="1800"/>
            <w:shd w:fill="EDEDED" w:val="clear"/>
            <w:tcMar>
              <w:top w:type="dxa" w:w="80"/>
              <w:left w:type="dxa" w:w="100"/>
              <w:bottom w:type="dxa" w:w="80"/>
              <w:right w:type="dxa" w:w="100"/>
            </w:tcMar>
            <w:vAlign w:val="center"/>
          </w:tcPr>
          <w:p>
            <w:r>
              <w:rPr>
                <w:rFonts w:ascii="Aptos" w:cs="Calibri" w:eastAsia="Calibri" w:hAnsi="Aptos"/>
                <w:sz w:val="18"/>
                <w:szCs w:val="20"/>
              </w:rPr>
              <w:t xml:space="preserve">Preliminary Exploration Complete</w:t>
            </w:r>
          </w:p>
        </w:tc>
      </w:tr>
      <w:tr>
        <w:tc>
          <w:tcPr>
            <w:tcW w:type="dxa" w:w="1100"/>
            <w:tcMar>
              <w:top w:type="dxa" w:w="80"/>
              <w:left w:type="dxa" w:w="100"/>
              <w:bottom w:type="dxa" w:w="80"/>
              <w:right w:type="dxa" w:w="100"/>
            </w:tcMar>
            <w:vAlign w:val="center"/>
          </w:tcPr>
          <w:p>
            <w:r>
              <w:rPr>
                <w:rFonts w:ascii="Aptos" w:cs="Calibri" w:eastAsia="Calibri" w:hAnsi="Aptos"/>
                <w:sz w:val="18"/>
                <w:szCs w:val="20"/>
              </w:rPr>
              <w:t xml:space="preserve">Day 5</w:t>
            </w:r>
          </w:p>
        </w:tc>
        <w:tc>
          <w:tcPr>
            <w:tcW w:type="dxa" w:w="3600"/>
            <w:tcMar>
              <w:top w:type="dxa" w:w="80"/>
              <w:left w:type="dxa" w:w="100"/>
              <w:bottom w:type="dxa" w:w="80"/>
              <w:right w:type="dxa" w:w="100"/>
            </w:tcMar>
            <w:vAlign w:val="center"/>
          </w:tcPr>
          <w:p>
            <w:r>
              <w:rPr>
                <w:rFonts w:ascii="Aptos" w:cs="Calibri" w:eastAsia="Calibri" w:hAnsi="Aptos"/>
                <w:sz w:val="18"/>
                <w:szCs w:val="20"/>
              </w:rPr>
              <w:t xml:space="preserve">Write and revise the DOCX report; contingency, debugging, and final QA</w:t>
            </w:r>
          </w:p>
        </w:tc>
        <w:tc>
          <w:tcPr>
            <w:tcW w:type="dxa" w:w="900"/>
            <w:tcMar>
              <w:top w:type="dxa" w:w="80"/>
              <w:left w:type="dxa" w:w="100"/>
              <w:bottom w:type="dxa" w:w="80"/>
              <w:right w:type="dxa" w:w="100"/>
            </w:tcMar>
            <w:vAlign w:val="center"/>
          </w:tcPr>
          <w:p>
            <w:r>
              <w:rPr>
                <w:rFonts w:ascii="Aptos" w:cs="Calibri" w:eastAsia="Calibri" w:hAnsi="Aptos"/>
                <w:sz w:val="18"/>
                <w:szCs w:val="20"/>
              </w:rPr>
              <w:t xml:space="preserve">6</w:t>
            </w:r>
          </w:p>
        </w:tc>
        <w:tc>
          <w:tcPr>
            <w:tcW w:type="dxa" w:w="1900"/>
            <w:tcMar>
              <w:top w:type="dxa" w:w="80"/>
              <w:left w:type="dxa" w:w="100"/>
              <w:bottom w:type="dxa" w:w="80"/>
              <w:right w:type="dxa" w:w="100"/>
            </w:tcMar>
            <w:vAlign w:val="center"/>
          </w:tcPr>
          <w:p>
            <w:r>
              <w:rPr>
                <w:rFonts w:ascii="Aptos" w:cs="Calibri" w:eastAsia="Calibri" w:hAnsi="Aptos"/>
                <w:sz w:val="18"/>
                <w:szCs w:val="20"/>
              </w:rPr>
              <w:t xml:space="preserve">Final Week 1 report; issue log; verification checklist</w:t>
            </w:r>
          </w:p>
        </w:tc>
        <w:tc>
          <w:tcPr>
            <w:tcW w:type="dxa" w:w="1800"/>
            <w:tcMar>
              <w:top w:type="dxa" w:w="80"/>
              <w:left w:type="dxa" w:w="100"/>
              <w:bottom w:type="dxa" w:w="80"/>
              <w:right w:type="dxa" w:w="100"/>
            </w:tcMar>
            <w:vAlign w:val="center"/>
          </w:tcPr>
          <w:p>
            <w:r>
              <w:rPr>
                <w:rFonts w:ascii="Aptos" w:cs="Calibri" w:eastAsia="Calibri" w:hAnsi="Aptos"/>
                <w:sz w:val="18"/>
                <w:szCs w:val="20"/>
              </w:rPr>
              <w:t xml:space="preserve">Final Report Ready</w:t>
            </w:r>
          </w:p>
        </w:tc>
      </w:tr>
    </w:tbl>
    <w:p>
      <w:pPr>
        <w:spacing w:before="160"/>
      </w:pPr>
      <w:r>
        <w:rPr>
          <w:rFonts w:ascii="Aptos" w:cs="Calibri" w:eastAsia="Calibri" w:hAnsi="Aptos"/>
          <w:b/>
          <w:bCs/>
          <w:sz w:val="22"/>
          <w:szCs w:val="22"/>
        </w:rPr>
        <w:t xml:space="preserve">Total planned effort: 34 hours (within the required 30–35 hour range).</w:t>
      </w:r>
    </w:p>
    <w:p>
      <w:pPr>
        <w:pStyle w:val="Heading1"/>
        <w:pBdr>
          <w:bottom w:val="single" w:color="1F3864" w:sz="8" w:space="4"/>
        </w:pBdr>
        <w:spacing w:after="160" w:before="360"/>
      </w:pPr>
      <w:r>
        <w:rPr>
          <w:rFonts w:ascii="Aptos" w:hAnsi="Aptos"/>
        </w:rPr>
        <w:t xml:space="preserve">12. Project Folder Structure &amp; Reproducibility</w:t>
      </w:r>
    </w:p>
    <w:p>
      <w:pPr>
        <w:spacing w:after="160" w:line="276"/>
      </w:pPr>
      <w:r>
        <w:rPr>
          <w:rFonts w:ascii="Aptos" w:cs="Calibri" w:eastAsia="Calibri" w:hAnsi="Aptos"/>
          <w:sz w:val="22"/>
          <w:szCs w:val="22"/>
        </w:rPr>
        <w:t xml:space="preserve">Raw data, cleaned data, notebooks, source code, and figures are kept in separate, clearly labeled folders so that the raw inputs are never overwritten and every output can be traced back to its source data and code.</w:t>
      </w:r>
    </w:p>
    <w:p>
      <w:pPr>
        <w:shd w:fill="EDEDED" w:val="clear"/>
        <w:spacing w:after="160"/>
      </w:pPr>
      <w:r>
        <w:rPr>
          <w:rFonts w:ascii="Aptos" w:cs="Consolas" w:eastAsia="Consolas" w:hAnsi="Aptos"/>
          <w:sz w:val="20"/>
          <w:szCs w:val="20"/>
        </w:rPr>
        <w:t xml:space="preserve">financial_analytics_week1/</w:t>
      </w:r>
      <w:r>
        <w:rPr>
          <w:rFonts w:ascii="Aptos" w:cs="Consolas" w:eastAsia="Consolas" w:hAnsi="Aptos"/>
          <w:sz w:val="20"/>
          <w:szCs w:val="20"/>
        </w:rPr>
        <w:br/>
        <w:t xml:space="preserve">├── data/</w:t>
      </w:r>
      <w:r>
        <w:rPr>
          <w:rFonts w:ascii="Aptos" w:cs="Consolas" w:eastAsia="Consolas" w:hAnsi="Aptos"/>
          <w:sz w:val="20"/>
          <w:szCs w:val="20"/>
        </w:rPr>
        <w:br/>
        <w:t xml:space="preserve">│   ├── raw/</w:t>
      </w:r>
      <w:r>
        <w:rPr>
          <w:rFonts w:ascii="Aptos" w:cs="Consolas" w:eastAsia="Consolas" w:hAnsi="Aptos"/>
          <w:sz w:val="20"/>
          <w:szCs w:val="20"/>
        </w:rPr>
        <w:br/>
        <w:t xml:space="preserve">│   └── clean/</w:t>
      </w:r>
      <w:r>
        <w:rPr>
          <w:rFonts w:ascii="Aptos" w:cs="Consolas" w:eastAsia="Consolas" w:hAnsi="Aptos"/>
          <w:sz w:val="20"/>
          <w:szCs w:val="20"/>
        </w:rPr>
        <w:br/>
        <w:t xml:space="preserve">├── notebooks/</w:t>
      </w:r>
      <w:r>
        <w:rPr>
          <w:rFonts w:ascii="Aptos" w:cs="Consolas" w:eastAsia="Consolas" w:hAnsi="Aptos"/>
          <w:sz w:val="20"/>
          <w:szCs w:val="20"/>
        </w:rPr>
        <w:br/>
        <w:t xml:space="preserve">├── src/</w:t>
      </w:r>
      <w:r>
        <w:rPr>
          <w:rFonts w:ascii="Aptos" w:cs="Consolas" w:eastAsia="Consolas" w:hAnsi="Aptos"/>
          <w:sz w:val="20"/>
          <w:szCs w:val="20"/>
        </w:rPr>
        <w:br/>
        <w:t xml:space="preserve">├── figures/</w:t>
      </w:r>
      <w:r>
        <w:rPr>
          <w:rFonts w:ascii="Aptos" w:cs="Consolas" w:eastAsia="Consolas" w:hAnsi="Aptos"/>
          <w:sz w:val="20"/>
          <w:szCs w:val="20"/>
        </w:rPr>
        <w:br/>
        <w:t xml:space="preserve">├── reports/</w:t>
      </w:r>
      <w:r>
        <w:rPr>
          <w:rFonts w:ascii="Aptos" w:cs="Consolas" w:eastAsia="Consolas" w:hAnsi="Aptos"/>
          <w:sz w:val="20"/>
          <w:szCs w:val="20"/>
        </w:rPr>
        <w:br/>
        <w:t xml:space="preserve">└── README.md</w:t>
      </w:r>
    </w:p>
    <w:p>
      <w:pPr>
        <w:spacing w:after="160" w:line="276"/>
      </w:pPr>
      <w:r>
        <w:rPr>
          <w:rFonts w:ascii="Aptos" w:cs="Calibri" w:eastAsia="Calibri" w:hAnsi="Aptos"/>
          <w:sz w:val="22"/>
          <w:szCs w:val="22"/>
        </w:rPr>
        <w:t xml:space="preserve">The README.md will document the study period, series used, retrieval dates, and the exact steps required to reproduce the analysis from raw data to final charts.</w:t>
      </w:r>
    </w:p>
    <w:p>
      <w:pPr>
        <w:pStyle w:val="Heading1"/>
        <w:pBdr>
          <w:bottom w:val="single" w:color="1F3864" w:sz="8" w:space="4"/>
        </w:pBdr>
        <w:spacing w:after="160" w:before="360"/>
      </w:pPr>
      <w:r>
        <w:rPr>
          <w:rFonts w:ascii="Aptos" w:hAnsi="Aptos"/>
        </w:rPr>
        <w:t xml:space="preserve">13. Risks, Limitations &amp; Quality Controls</w:t>
      </w:r>
    </w:p>
    <w:p>
      <w:pPr>
        <w:pStyle w:val="ListParagraph"/>
        <w:numPr>
          <w:ilvl w:val="0"/>
          <w:numId w:val="2"/>
        </w:numPr>
        <w:spacing w:after="80"/>
      </w:pPr>
      <w:r>
        <w:rPr>
          <w:rFonts w:ascii="Aptos" w:cs="Calibri" w:eastAsia="Calibri" w:hAnsi="Aptos"/>
          <w:sz w:val="22"/>
          <w:szCs w:val="22"/>
        </w:rPr>
        <w:t xml:space="preserve">Different datasets have different frequencies, calendars, and update schedules; alignment rules will be documented wherever daily and monthly data are compared.</w:t>
      </w:r>
    </w:p>
    <w:p>
      <w:pPr>
        <w:pStyle w:val="ListParagraph"/>
        <w:numPr>
          <w:ilvl w:val="0"/>
          <w:numId w:val="2"/>
        </w:numPr>
        <w:spacing w:after="80"/>
      </w:pPr>
      <w:r>
        <w:rPr>
          <w:rFonts w:ascii="Aptos" w:cs="Calibri" w:eastAsia="Calibri" w:hAnsi="Aptos"/>
          <w:sz w:val="22"/>
          <w:szCs w:val="22"/>
        </w:rPr>
        <w:t xml:space="preserve">Missing values will be investigated before any filling or dropping decision is made.</w:t>
      </w:r>
    </w:p>
    <w:p>
      <w:pPr>
        <w:pStyle w:val="ListParagraph"/>
        <w:numPr>
          <w:ilvl w:val="0"/>
          <w:numId w:val="2"/>
        </w:numPr>
        <w:spacing w:after="80"/>
      </w:pPr>
      <w:r>
        <w:rPr>
          <w:rFonts w:ascii="Aptos" w:cs="Calibri" w:eastAsia="Calibri" w:hAnsi="Aptos"/>
          <w:sz w:val="22"/>
          <w:szCs w:val="22"/>
        </w:rPr>
        <w:t xml:space="preserve">Economic data (e.g., CPI) may be revised after initial release; retrieval dates will be recorded for traceability.</w:t>
      </w:r>
    </w:p>
    <w:p>
      <w:pPr>
        <w:pStyle w:val="ListParagraph"/>
        <w:numPr>
          <w:ilvl w:val="0"/>
          <w:numId w:val="2"/>
        </w:numPr>
        <w:spacing w:after="80"/>
      </w:pPr>
      <w:r>
        <w:rPr>
          <w:rFonts w:ascii="Aptos" w:cs="Calibri" w:eastAsia="Calibri" w:hAnsi="Aptos"/>
          <w:sz w:val="22"/>
          <w:szCs w:val="22"/>
        </w:rPr>
        <w:t xml:space="preserve">Correlation does not establish causation — any observed relationship will be described as descriptive only.</w:t>
      </w:r>
    </w:p>
    <w:p>
      <w:pPr>
        <w:pStyle w:val="ListParagraph"/>
        <w:numPr>
          <w:ilvl w:val="0"/>
          <w:numId w:val="2"/>
        </w:numPr>
        <w:spacing w:after="80"/>
      </w:pPr>
      <w:r>
        <w:rPr>
          <w:rFonts w:ascii="Aptos" w:cs="Calibri" w:eastAsia="Calibri" w:hAnsi="Aptos"/>
          <w:sz w:val="22"/>
          <w:szCs w:val="22"/>
        </w:rPr>
        <w:t xml:space="preserve">Market and macroeconomic relationships can change over time; historical patterns are not a guarantee of future behavior.</w:t>
      </w:r>
    </w:p>
    <w:p>
      <w:pPr>
        <w:pStyle w:val="ListParagraph"/>
        <w:numPr>
          <w:ilvl w:val="0"/>
          <w:numId w:val="2"/>
        </w:numPr>
        <w:spacing w:after="80"/>
      </w:pPr>
      <w:r>
        <w:rPr>
          <w:rFonts w:ascii="Aptos" w:cs="Calibri" w:eastAsia="Calibri" w:hAnsi="Aptos"/>
          <w:sz w:val="22"/>
          <w:szCs w:val="22"/>
        </w:rPr>
        <w:t xml:space="preserve">API or data-access limitations (rate limits, temporary outages) will be handled by caching raw downloads locally.</w:t>
      </w:r>
    </w:p>
    <w:p>
      <w:pPr>
        <w:pStyle w:val="ListParagraph"/>
        <w:numPr>
          <w:ilvl w:val="0"/>
          <w:numId w:val="2"/>
        </w:numPr>
        <w:spacing w:after="80"/>
      </w:pPr>
      <w:r>
        <w:rPr>
          <w:rFonts w:ascii="Aptos" w:cs="Calibri" w:eastAsia="Calibri" w:hAnsi="Aptos"/>
          <w:sz w:val="22"/>
          <w:szCs w:val="22"/>
        </w:rPr>
        <w:t xml:space="preserve">This project is a first-week planning and exploration exercise, not investment advice, a trading strategy, or a forecast.</w:t>
      </w:r>
    </w:p>
    <w:p>
      <w:pPr>
        <w:pStyle w:val="Heading1"/>
        <w:pBdr>
          <w:bottom w:val="single" w:color="1F3864" w:sz="8" w:space="4"/>
        </w:pBdr>
        <w:spacing w:after="160" w:before="360"/>
      </w:pPr>
      <w:r>
        <w:rPr>
          <w:rFonts w:ascii="Aptos" w:hAnsi="Aptos"/>
        </w:rPr>
        <w:t xml:space="preserve">14. Expected Deliverables</w:t>
      </w:r>
    </w:p>
    <w:p>
      <w:pPr>
        <w:pStyle w:val="ListParagraph"/>
        <w:numPr>
          <w:ilvl w:val="0"/>
          <w:numId w:val="2"/>
        </w:numPr>
        <w:spacing w:after="80"/>
      </w:pPr>
      <w:r>
        <w:rPr>
          <w:rFonts w:ascii="Aptos" w:cs="Calibri" w:eastAsia="Calibri" w:hAnsi="Aptos"/>
          <w:sz w:val="22"/>
          <w:szCs w:val="22"/>
        </w:rPr>
        <w:t xml:space="preserve">Completed DOCX project plan (this document).</w:t>
      </w:r>
    </w:p>
    <w:p>
      <w:pPr>
        <w:pStyle w:val="ListParagraph"/>
        <w:numPr>
          <w:ilvl w:val="0"/>
          <w:numId w:val="2"/>
        </w:numPr>
        <w:spacing w:after="80"/>
      </w:pPr>
      <w:r>
        <w:rPr>
          <w:rFonts w:ascii="Aptos" w:cs="Calibri" w:eastAsia="Calibri" w:hAnsi="Aptos"/>
          <w:sz w:val="22"/>
          <w:szCs w:val="22"/>
        </w:rPr>
        <w:t xml:space="preserve">At least two documented public data sources (FRED and Yahoo Finance/yfinance), with SEC EDGAR documented for future use.</w:t>
      </w:r>
    </w:p>
    <w:p>
      <w:pPr>
        <w:pStyle w:val="ListParagraph"/>
        <w:numPr>
          <w:ilvl w:val="0"/>
          <w:numId w:val="2"/>
        </w:numPr>
        <w:spacing w:after="80"/>
      </w:pPr>
      <w:r>
        <w:rPr>
          <w:rFonts w:ascii="Aptos" w:cs="Calibri" w:eastAsia="Calibri" w:hAnsi="Aptos"/>
          <w:sz w:val="22"/>
          <w:szCs w:val="22"/>
        </w:rPr>
        <w:t xml:space="preserve">Clear research questions and a defined project scope.</w:t>
      </w:r>
    </w:p>
    <w:p>
      <w:pPr>
        <w:pStyle w:val="ListParagraph"/>
        <w:numPr>
          <w:ilvl w:val="0"/>
          <w:numId w:val="2"/>
        </w:numPr>
        <w:spacing w:after="80"/>
      </w:pPr>
      <w:r>
        <w:rPr>
          <w:rFonts w:ascii="Aptos" w:cs="Calibri" w:eastAsia="Calibri" w:hAnsi="Aptos"/>
          <w:sz w:val="22"/>
          <w:szCs w:val="22"/>
        </w:rPr>
        <w:t xml:space="preserve">Documented data-acquisition and data-cleaning workflow.</w:t>
      </w:r>
    </w:p>
    <w:p>
      <w:pPr>
        <w:pStyle w:val="ListParagraph"/>
        <w:numPr>
          <w:ilvl w:val="0"/>
          <w:numId w:val="2"/>
        </w:numPr>
        <w:spacing w:after="80"/>
      </w:pPr>
      <w:r>
        <w:rPr>
          <w:rFonts w:ascii="Aptos" w:cs="Calibri" w:eastAsia="Calibri" w:hAnsi="Aptos"/>
          <w:sz w:val="22"/>
          <w:szCs w:val="22"/>
        </w:rPr>
        <w:t xml:space="preserve">Python library/tool justification table.</w:t>
      </w:r>
    </w:p>
    <w:p>
      <w:pPr>
        <w:pStyle w:val="ListParagraph"/>
        <w:numPr>
          <w:ilvl w:val="0"/>
          <w:numId w:val="2"/>
        </w:numPr>
        <w:spacing w:after="80"/>
      </w:pPr>
      <w:r>
        <w:rPr>
          <w:rFonts w:ascii="Aptos" w:cs="Calibri" w:eastAsia="Calibri" w:hAnsi="Aptos"/>
          <w:sz w:val="22"/>
          <w:szCs w:val="22"/>
        </w:rPr>
        <w:t xml:space="preserve">Raw-data and clean-data folder organization.</w:t>
      </w:r>
    </w:p>
    <w:p>
      <w:pPr>
        <w:pStyle w:val="ListParagraph"/>
        <w:numPr>
          <w:ilvl w:val="0"/>
          <w:numId w:val="2"/>
        </w:numPr>
        <w:spacing w:after="80"/>
      </w:pPr>
      <w:r>
        <w:rPr>
          <w:rFonts w:ascii="Aptos" w:cs="Calibri" w:eastAsia="Calibri" w:hAnsi="Aptos"/>
          <w:sz w:val="22"/>
          <w:szCs w:val="22"/>
        </w:rPr>
        <w:t xml:space="preserve">Initial descriptive statistics for all three core series.</w:t>
      </w:r>
    </w:p>
    <w:p>
      <w:pPr>
        <w:pStyle w:val="ListParagraph"/>
        <w:numPr>
          <w:ilvl w:val="0"/>
          <w:numId w:val="2"/>
        </w:numPr>
        <w:spacing w:after="80"/>
      </w:pPr>
      <w:r>
        <w:rPr>
          <w:rFonts w:ascii="Aptos" w:cs="Calibri" w:eastAsia="Calibri" w:hAnsi="Aptos"/>
          <w:sz w:val="22"/>
          <w:szCs w:val="22"/>
        </w:rPr>
        <w:t xml:space="preserve">3–5 preliminary charts with short interpretive notes.</w:t>
      </w:r>
    </w:p>
    <w:p>
      <w:pPr>
        <w:pStyle w:val="ListParagraph"/>
        <w:numPr>
          <w:ilvl w:val="0"/>
          <w:numId w:val="2"/>
        </w:numPr>
        <w:spacing w:after="80"/>
      </w:pPr>
      <w:r>
        <w:rPr>
          <w:rFonts w:ascii="Aptos" w:cs="Calibri" w:eastAsia="Calibri" w:hAnsi="Aptos"/>
          <w:sz w:val="22"/>
          <w:szCs w:val="22"/>
        </w:rPr>
        <w:t xml:space="preserve">Notes explaining what the preliminary results do, and do not, demonstrate.</w:t>
      </w:r>
    </w:p>
    <w:p>
      <w:pPr>
        <w:pStyle w:val="Heading1"/>
        <w:pBdr>
          <w:bottom w:val="single" w:color="1F3864" w:sz="8" w:space="4"/>
        </w:pBdr>
        <w:spacing w:after="160" w:before="360"/>
      </w:pPr>
      <w:r>
        <w:rPr>
          <w:rFonts w:ascii="Aptos" w:hAnsi="Aptos"/>
        </w:rPr>
        <w:t xml:space="preserve">15. Success Criteria</w:t>
      </w:r>
    </w:p>
    <w:p>
      <w:pPr>
        <w:spacing w:after="160" w:line="276"/>
      </w:pPr>
      <w:r>
        <w:rPr>
          <w:rFonts w:ascii="Aptos" w:cs="Calibri" w:eastAsia="Calibri" w:hAnsi="Aptos"/>
          <w:sz w:val="22"/>
          <w:szCs w:val="22"/>
        </w:rPr>
        <w:t xml:space="preserve">Week 1 will be considered successful when another analyst can open the project folder and, without additional explanation, understand:</w:t>
      </w:r>
    </w:p>
    <w:p>
      <w:pPr>
        <w:pStyle w:val="ListParagraph"/>
        <w:numPr>
          <w:ilvl w:val="0"/>
          <w:numId w:val="2"/>
        </w:numPr>
        <w:spacing w:after="80"/>
      </w:pPr>
      <w:r>
        <w:rPr>
          <w:rFonts w:ascii="Aptos" w:cs="Calibri" w:eastAsia="Calibri" w:hAnsi="Aptos"/>
          <w:sz w:val="22"/>
          <w:szCs w:val="22"/>
        </w:rPr>
        <w:t xml:space="preserve">What research questions are being investigated and why.</w:t>
      </w:r>
    </w:p>
    <w:p>
      <w:pPr>
        <w:pStyle w:val="ListParagraph"/>
        <w:numPr>
          <w:ilvl w:val="0"/>
          <w:numId w:val="2"/>
        </w:numPr>
        <w:spacing w:after="80"/>
      </w:pPr>
      <w:r>
        <w:rPr>
          <w:rFonts w:ascii="Aptos" w:cs="Calibri" w:eastAsia="Calibri" w:hAnsi="Aptos"/>
          <w:sz w:val="22"/>
          <w:szCs w:val="22"/>
        </w:rPr>
        <w:t xml:space="preserve">Exactly where each dataset came from, including series ID and retrieval date.</w:t>
      </w:r>
    </w:p>
    <w:p>
      <w:pPr>
        <w:pStyle w:val="ListParagraph"/>
        <w:numPr>
          <w:ilvl w:val="0"/>
          <w:numId w:val="2"/>
        </w:numPr>
        <w:spacing w:after="80"/>
      </w:pPr>
      <w:r>
        <w:rPr>
          <w:rFonts w:ascii="Aptos" w:cs="Calibri" w:eastAsia="Calibri" w:hAnsi="Aptos"/>
          <w:sz w:val="22"/>
          <w:szCs w:val="22"/>
        </w:rPr>
        <w:t xml:space="preserve">How the data was acquired and how to reproduce that acquisition.</w:t>
      </w:r>
    </w:p>
    <w:p>
      <w:pPr>
        <w:pStyle w:val="ListParagraph"/>
        <w:numPr>
          <w:ilvl w:val="0"/>
          <w:numId w:val="2"/>
        </w:numPr>
        <w:spacing w:after="80"/>
      </w:pPr>
      <w:r>
        <w:rPr>
          <w:rFonts w:ascii="Aptos" w:cs="Calibri" w:eastAsia="Calibri" w:hAnsi="Aptos"/>
          <w:sz w:val="22"/>
          <w:szCs w:val="22"/>
        </w:rPr>
        <w:t xml:space="preserve">How the data was cleaned, and why each cleaning decision was made.</w:t>
      </w:r>
    </w:p>
    <w:p>
      <w:pPr>
        <w:pStyle w:val="ListParagraph"/>
        <w:numPr>
          <w:ilvl w:val="0"/>
          <w:numId w:val="2"/>
        </w:numPr>
        <w:spacing w:after="80"/>
      </w:pPr>
      <w:r>
        <w:rPr>
          <w:rFonts w:ascii="Aptos" w:cs="Calibri" w:eastAsia="Calibri" w:hAnsi="Aptos"/>
          <w:sz w:val="22"/>
          <w:szCs w:val="22"/>
        </w:rPr>
        <w:t xml:space="preserve">What preliminary statistics and charts were produced.</w:t>
      </w:r>
    </w:p>
    <w:p>
      <w:pPr>
        <w:pStyle w:val="ListParagraph"/>
        <w:numPr>
          <w:ilvl w:val="0"/>
          <w:numId w:val="2"/>
        </w:numPr>
        <w:spacing w:after="80"/>
      </w:pPr>
      <w:r>
        <w:rPr>
          <w:rFonts w:ascii="Aptos" w:cs="Calibri" w:eastAsia="Calibri" w:hAnsi="Aptos"/>
          <w:sz w:val="22"/>
          <w:szCs w:val="22"/>
        </w:rPr>
        <w:t xml:space="preserve">How the entire workflow can be re-run from raw data to final output.</w:t>
      </w:r>
    </w:p>
    <w:p>
      <w:pPr>
        <w:pStyle w:val="Heading1"/>
        <w:pBdr>
          <w:bottom w:val="single" w:color="1F3864" w:sz="8" w:space="4"/>
        </w:pBdr>
        <w:spacing w:after="160" w:before="360"/>
      </w:pPr>
      <w:r>
        <w:t>17. Conclusion</w:t>
      </w:r>
    </w:p>
    <w:p>
      <w:pPr>
        <w:spacing w:after="160" w:line="276"/>
      </w:pPr>
      <w:r>
        <w:rPr>
          <w:rFonts w:ascii="Aptos" w:cs="Calibri" w:eastAsia="Calibri" w:hAnsi="Aptos"/>
          <w:sz w:val="22"/>
          <w:szCs w:val="22"/>
        </w:rPr>
        <w:t xml:space="preserve">This plan establishes a realistic, well-documented foundation for the internship's financial analytics work. By focusing Week 1 on data acquisition, validation, cleaning, and preliminary — strictly descriptive — analysis, the project avoids overreach while still demonstrating the core skills the internship is designed to build: working with real public financial data, applying sound data-hygiene practices, and communicating findings clearly and honestly. Subsequent weeks can extend this foundation toward deeper statistical analysis, additional data sources such as SEC EDGAR, or a broader set of market indicators, once this base is reviewed and confirmed by the supervisor.</w:t>
      </w:r>
    </w:p>
    <w:p>
      <w:pPr>
        <w:pStyle w:val="Heading1"/>
        <w:pBdr>
          <w:bottom w:val="single" w:color="1F3864" w:sz="8" w:space="4"/>
        </w:pBdr>
        <w:spacing w:after="160" w:before="360"/>
      </w:pPr>
      <w:r>
        <w:t>18. References</w:t>
      </w:r>
    </w:p>
    <w:p>
      <w:pPr>
        <w:pStyle w:val="ListParagraph"/>
        <w:numPr>
          <w:ilvl w:val="0"/>
          <w:numId w:val="2"/>
        </w:numPr>
        <w:spacing w:after="80"/>
      </w:pPr>
      <w:r>
        <w:rPr>
          <w:rFonts w:ascii="Aptos" w:cs="Calibri" w:eastAsia="Calibri" w:hAnsi="Aptos"/>
          <w:sz w:val="22"/>
          <w:szCs w:val="22"/>
        </w:rPr>
        <w:t xml:space="preserve">Federal Reserve Bank of St. Louis — FRED: https://fred.stlouisfed.org/</w:t>
      </w:r>
    </w:p>
    <w:p>
      <w:pPr>
        <w:pStyle w:val="ListParagraph"/>
        <w:numPr>
          <w:ilvl w:val="0"/>
          <w:numId w:val="2"/>
        </w:numPr>
        <w:spacing w:after="80"/>
      </w:pPr>
      <w:r>
        <w:rPr>
          <w:rFonts w:ascii="Aptos" w:cs="Calibri" w:eastAsia="Calibri" w:hAnsi="Aptos"/>
          <w:sz w:val="22"/>
          <w:szCs w:val="22"/>
        </w:rPr>
        <w:t xml:space="preserve">FRED API Documentation: https://fred.stlouisfed.org/docs/api/fred/overview.html</w:t>
      </w:r>
    </w:p>
    <w:p>
      <w:pPr>
        <w:pStyle w:val="ListParagraph"/>
        <w:numPr>
          <w:ilvl w:val="0"/>
          <w:numId w:val="2"/>
        </w:numPr>
        <w:spacing w:after="80"/>
      </w:pPr>
      <w:r>
        <w:rPr>
          <w:rFonts w:ascii="Aptos" w:cs="Calibri" w:eastAsia="Calibri" w:hAnsi="Aptos"/>
          <w:sz w:val="22"/>
          <w:szCs w:val="22"/>
        </w:rPr>
        <w:t xml:space="preserve">U.S. Securities and Exchange Commission — EDGAR: https://www.sec.gov/edgar/search/</w:t>
      </w:r>
    </w:p>
    <w:p>
      <w:pPr>
        <w:pStyle w:val="ListParagraph"/>
        <w:numPr>
          <w:ilvl w:val="0"/>
          <w:numId w:val="2"/>
        </w:numPr>
        <w:spacing w:after="80"/>
      </w:pPr>
      <w:r>
        <w:rPr>
          <w:rFonts w:ascii="Aptos" w:cs="Calibri" w:eastAsia="Calibri" w:hAnsi="Aptos"/>
          <w:sz w:val="22"/>
          <w:szCs w:val="22"/>
        </w:rPr>
        <w:t xml:space="preserve">SEC EDGAR API Documentation: https://www.sec.gov/search-filings/edgar-application-programming-interfaces</w:t>
      </w:r>
    </w:p>
    <w:p>
      <w:pPr>
        <w:spacing w:after="160" w:line="276"/>
      </w:pPr>
      <w:r>
        <w:t>Reference note: official documentation for any API or library used in implementation should be recorded at the time of use, together with the relevant version where practical. The final analysis notebook should also record dataset retrieval dates.</w:t>
      </w:r>
    </w:p>
    <w:sectPr>
      <w:headerReference w:type="default" r:id="rId7"/>
      <w:footerReference w:type="default" r:id="rId8"/>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Week 1 Financial Analytics Project Plan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Financial Analytics Project Plan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44546A"/>
        <w:sz w:val="16"/>
        <w:szCs w:val="16"/>
      </w:rPr>
      <w:t xml:space="preserve">Week 1 Project Plan — Financial Analytics with Python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Project Plan — Financial Analytics with Python</dc:title>
  <dc:creator>Junior Data Analyst</dc:creator>
  <cp:lastModifiedBy>Un-named</cp:lastModifiedBy>
  <cp:revision>1</cp:revision>
  <dcterms:created xsi:type="dcterms:W3CDTF">2026-08-20T13:56:35.994Z</dcterms:created>
  <dcterms:modified xsi:type="dcterms:W3CDTF">2026-08-20T13:56:35.994Z</dcterms:modified>
</cp:coreProperties>
</file>

<file path=docProps/custom.xml><?xml version="1.0" encoding="utf-8"?>
<Properties xmlns="http://schemas.openxmlformats.org/officeDocument/2006/custom-properties" xmlns:vt="http://schemas.openxmlformats.org/officeDocument/2006/docPropsVTypes"/>
</file>