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viva — sample Q&amp;A, 3 pages. Use Cmd/Ctrl+F in the app to search; page numbers appear alongside each match.</w:t>
      </w:r>
    </w:p>
    <w:p/>
    <w:p>
      <w:r>
        <w:t>Q: What is the main contribution of your thesis? (core contribution, key finding)</w:t>
      </w:r>
    </w:p>
    <w:p>
      <w:r>
        <w:t>A: The primary contribution is a unified framework that combines retrieval and re-ranking under a single contrastive loss. This allows the model to learn both coarse and fine-grained relevance signals jointly, which we show produces a consistent 2-4 point nDCG@10 improvement over two-stage baselines on three standard benchmarks.</w:t>
      </w:r>
    </w:p>
    <w:p/>
    <w:p>
      <w:r>
        <w:t>Q: Why did you choose method X over alternatives? (method choice, approach selection)</w:t>
      </w:r>
    </w:p>
    <w:p>
      <w:r>
        <w:t>A: Method X was chosen because it provides the best trade-off between computational cost and expressive power for our use case. Alternatives such as cross-encoders were too slow for real-time inference, while bi-encoders lost too much signal. Method X sits in the middle and lets us tune the operating point per query class.</w:t>
      </w:r>
    </w:p>
    <w:p/>
    <w:p>
      <w:r>
        <w:t>Q: What dataset did you evaluate on and why? (evaluation, benchmarks)</w:t>
      </w:r>
    </w:p>
    <w:p>
      <w:r>
        <w:t>A: We evaluated on MS MARCO, BEIR, and TREC DL 2019-2020. MS MARCO provides scale, BEIR tests zero-shot transfer across domains, and TREC DL gives us graded relevance judgments from expert annotators. Together they cover in-domain performance, generalization, and fine-grained ranking quality.</w:t>
      </w:r>
    </w:p>
    <w:p/>
    <w:p>
      <w:r>
        <w:t>Q: What is your baseline comparison? (baselines, prior work)</w:t>
      </w:r>
    </w:p>
    <w:p>
      <w:r>
        <w:t>A: Our baselines include BM25 (classical), a fine-tuned BERT cross-encoder, ColBERT, and the most recent open-source dense retriever at the time of writing. We include both sparse and dense methods to ensure the comparison is fair across retrieval paradigms.</w:t>
      </w:r>
    </w:p>
    <w:p/>
    <w:p>
      <w:r>
        <w:t>Q: How did you tune hyperparameters? (hyperparameters, training setup)</w:t>
      </w:r>
    </w:p>
    <w:p>
      <w:r>
        <w:t>A: We used a held-out dev split from MS MARCO for hyperparameter search with a Bayesian optimizer over learning rate, temperature, and batch size. Each trial ran 3 epochs. Final models were then retrained on the full training set with the best config and evaluated only once on the test splits.</w:t>
      </w:r>
    </w:p>
    <w:p/>
    <w:p>
      <w:r>
        <w:br w:type="page"/>
      </w:r>
    </w:p>
    <w:p>
      <w:r>
        <w:t>Q: What are the limitations of your work? (drawbacks, weaknesses)</w:t>
      </w:r>
    </w:p>
    <w:p>
      <w:r>
        <w:t>A: The main limitations fall into three buckets. First, the modest dataset size in the target domain limits statistical power — some improvements are within noise. Second, external validity is restricted to the single domain we evaluated on. Third, we did not evaluate on non-English queries, so multilingual claims are out of scope.</w:t>
      </w:r>
    </w:p>
    <w:p/>
    <w:p>
      <w:r>
        <w:t>Q: What is the biggest weakness of your approach? (weakness, critique)</w:t>
      </w:r>
    </w:p>
    <w:p>
      <w:r>
        <w:t>A: The biggest weakness is inference latency under high-throughput load. Our model is 1.8x slower than a bi-encoder baseline at p99 because the re-ranking step adds a second forward pass. For applications with strict latency SLAs, the accuracy gain may not justify the cost.</w:t>
      </w:r>
    </w:p>
    <w:p/>
    <w:p>
      <w:r>
        <w:t>Q: How would you respond to the critique that your improvements are marginal? (defense, rebuttal)</w:t>
      </w:r>
    </w:p>
    <w:p>
      <w:r>
        <w:t>A: While individual benchmark improvements appear small, the consistency across nine datasets and three metrics is the real signal. We also show the gains are preserved under domain shift, which is the harder test. We view this as robust incremental progress rather than a single flashy number.</w:t>
      </w:r>
    </w:p>
    <w:p/>
    <w:p>
      <w:r>
        <w:t>Q: What assumptions does your method rely on? (assumptions, preconditions)</w:t>
      </w:r>
    </w:p>
    <w:p>
      <w:r>
        <w:t>A: Our method assumes (a) access to sufficient training pairs with negatives, (b) queries and documents share a single language, and (c) the downstream task values ranking quality over raw recall. When any assumption breaks, we would expect the relative gains to shrink.</w:t>
      </w:r>
    </w:p>
    <w:p/>
    <w:p>
      <w:r>
        <w:t>Q: Did you perform ablations? (ablation, component analysis)</w:t>
      </w:r>
    </w:p>
    <w:p>
      <w:r>
        <w:t>A: Yes. We ablated the contrastive objective, the shared encoder, and the negative sampling strategy individually. Removing shared encoding costs the most (~60% of total gain); the negative sampling strategy contributes roughly 30%; the remainder comes from the loss formulation itself.</w:t>
      </w:r>
    </w:p>
    <w:p/>
    <w:p>
      <w:r>
        <w:br w:type="page"/>
      </w:r>
    </w:p>
    <w:p>
      <w:r>
        <w:t>Q: What is the future work? (extensions, next steps)</w:t>
      </w:r>
    </w:p>
    <w:p>
      <w:r>
        <w:t>A: Future work includes scaling to larger multilingual corpora, studying the interaction between retrieval quality and downstream generation in RAG systems, and exploring on-device distillation so the model can run with similar quality at a fraction of the compute.</w:t>
      </w:r>
    </w:p>
    <w:p/>
    <w:p>
      <w:r>
        <w:t>Q: How does this relate to RAG systems? (retrieval augmented generation)</w:t>
      </w:r>
    </w:p>
    <w:p>
      <w:r>
        <w:t>A: Retrieval quality is the main upstream bottleneck in RAG. A better retriever directly translates to better generated answers, with less dependence on the generator's parametric knowledge. Our method is a drop-in replacement for the retrieval step in any standard RAG pipeline.</w:t>
      </w:r>
    </w:p>
    <w:p/>
    <w:p>
      <w:r>
        <w:t>Q: What would you do differently if you started over? (retrospective, lessons learned)</w:t>
      </w:r>
    </w:p>
    <w:p>
      <w:r>
        <w:t>A: I would invest earlier in evaluation infrastructure. We spent too much time iterating on model changes before we had reliable, fast offline metrics — and in hindsight, many early experiments were uninformative. Tooling compounds.</w:t>
      </w:r>
    </w:p>
    <w:p/>
    <w:p>
      <w:r>
        <w:t>Q: What skills did you develop during this project? (skills, growth)</w:t>
      </w:r>
    </w:p>
    <w:p>
      <w:r>
        <w:t>A: Beyond the technical work, I learned how to scope research questions that are actually tractable in 18 months, how to run rigorous ablations, and how to communicate uncertainty honestly. Writing the thesis itself was the single biggest growth moment.</w:t>
      </w:r>
    </w:p>
    <w:p/>
    <w:p>
      <w:r>
        <w:t>Q: Why should the committee care about this work? (significance, impact)</w:t>
      </w:r>
    </w:p>
    <w:p>
      <w:r>
        <w:t>A: Because search is a load-bearing primitive behind most modern ML systems, and even small consistent gains compound across billions of queries. Our method is simple enough to deploy, robust enough to transfer across domains, and opens a clean path toward multilingual extensions.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