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Distributor Onboarding — Complete Setup Guide</w:t>
      </w:r>
    </w:p>
    <w:p>
      <w:pPr>
        <w:spacing w:after="100"/>
      </w:pPr>
      <w:r>
        <w:t xml:space="preserve">How to connect one distributor's </w:t>
      </w:r>
      <w:r>
        <w:rPr>
          <w:b/>
          <w:bCs/>
        </w:rPr>
        <w:t xml:space="preserve">Tally</w:t>
      </w:r>
      <w:r>
        <w:t xml:space="preserve"> to your </w:t>
      </w:r>
      <w:r>
        <w:rPr>
          <w:b/>
          <w:bCs/>
        </w:rPr>
        <w:t xml:space="preserve">Salesforce</w:t>
      </w:r>
      <w:r>
        <w:t xml:space="preserve"> so customers, products,</w:t>
      </w:r>
    </w:p>
    <w:p>
      <w:pPr>
        <w:spacing w:after="100"/>
      </w:pPr>
      <w:r>
        <w:t xml:space="preserve">purchases, sales, orders and GST flow automatically between the two — in both directions.</w:t>
      </w:r>
    </w:p>
    <w:p>
      <w:pPr>
        <w:spacing w:after="100"/>
      </w:pPr>
      <w:r>
        <w:t xml:space="preserve">You'll work through four parts:</w:t>
      </w:r>
    </w:p>
    <w:p>
      <w:pPr>
        <w:spacing w:after="40"/>
        <w:ind w:left="360" w:hanging="260"/>
      </w:pPr>
      <w:r>
        <w:rPr>
          <w:b/>
          <w:bCs/>
        </w:rPr>
        <w:t xml:space="preserve">1. </w:t>
      </w:r>
      <w:r>
        <w:rPr>
          <w:b/>
          <w:bCs/>
        </w:rPr>
        <w:t xml:space="preserve">Salesforce</w:t>
      </w:r>
      <w:r>
        <w:t xml:space="preserve"> — create the distributor and switch on the syncs.</w:t>
      </w:r>
    </w:p>
    <w:p>
      <w:pPr>
        <w:spacing w:after="40"/>
        <w:ind w:left="360" w:hanging="260"/>
      </w:pPr>
      <w:r>
        <w:rPr>
          <w:b/>
          <w:bCs/>
        </w:rPr>
        <w:t xml:space="preserve">2. </w:t>
      </w:r>
      <w:r>
        <w:rPr>
          <w:b/>
          <w:bCs/>
        </w:rPr>
        <w:t xml:space="preserve">Tally</w:t>
      </w:r>
      <w:r>
        <w:t xml:space="preserve"> — prepare the distributor's Tally.</w:t>
      </w:r>
    </w:p>
    <w:p>
      <w:pPr>
        <w:spacing w:after="40"/>
        <w:ind w:left="360" w:hanging="260"/>
      </w:pPr>
      <w:r>
        <w:rPr>
          <w:b/>
          <w:bCs/>
        </w:rPr>
        <w:t xml:space="preserve">3. </w:t>
      </w:r>
      <w:r>
        <w:rPr>
          <w:b/>
          <w:bCs/>
        </w:rPr>
        <w:t xml:space="preserve">Connector</w:t>
      </w:r>
      <w:r>
        <w:t xml:space="preserve"> — install and point it at the distributor.</w:t>
      </w:r>
    </w:p>
    <w:p>
      <w:pPr>
        <w:spacing w:after="40"/>
        <w:ind w:left="360" w:hanging="260"/>
      </w:pPr>
      <w:r>
        <w:rPr>
          <w:b/>
          <w:bCs/>
        </w:rPr>
        <w:t xml:space="preserve">4. </w:t>
      </w:r>
      <w:r>
        <w:rPr>
          <w:b/>
          <w:bCs/>
        </w:rPr>
        <w:t xml:space="preserve">Verify</w:t>
      </w:r>
      <w:r>
        <w:t xml:space="preserve"> — one test to prove it's working.</w:t>
      </w:r>
    </w:p>
    <w:p>
      <w:pPr>
        <w:pBdr>
          <w:left w:val="single" w:color="E0A800" w:sz="18" w:space="8"/>
        </w:pBdr>
        <w:shd w:fill="FFF7E0" w:val="clear"/>
        <w:spacing w:after="80" w:before="80"/>
        <w:ind w:left="240" w:right="240"/>
      </w:pPr>
      <w:r>
        <w:t xml:space="preserve">A few one-time technical items (done once by your admin/IT) are collected in the</w:t>
      </w:r>
    </w:p>
    <w:p>
      <w:pPr>
        <w:pBdr>
          <w:left w:val="single" w:color="E0A800" w:sz="18" w:space="8"/>
        </w:pBdr>
        <w:shd w:fill="FFF7E0" w:val="clear"/>
        <w:spacing w:after="80" w:before="80"/>
        <w:ind w:left="240" w:right="240"/>
      </w:pPr>
      <w:r>
        <w:rPr>
          <w:b/>
          <w:bCs/>
        </w:rPr>
        <w:t xml:space="preserve">"For your IT team"</w:t>
      </w:r>
      <w:r>
        <w:t xml:space="preserve"> box at the end. If those are already in place for your org, skip them.</w:t>
      </w:r>
    </w:p>
    <w:p>
      <w:pPr>
        <w:pStyle w:val="Heading1"/>
        <w:spacing w:after="120" w:before="240"/>
      </w:pPr>
      <w:r>
        <w:t xml:space="preserve">Before you start — have these ready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Access to </w:t>
      </w:r>
      <w:r>
        <w:rPr>
          <w:b/>
          <w:bCs/>
        </w:rPr>
        <w:t xml:space="preserve">Salesforce</w:t>
      </w:r>
      <w:r>
        <w:t xml:space="preserve"> (and the </w:t>
      </w:r>
      <w:r>
        <w:rPr>
          <w:b/>
          <w:bCs/>
        </w:rPr>
        <w:t xml:space="preserve">Tally Sync Integration</w:t>
      </w:r>
      <w:r>
        <w:t xml:space="preserve"> permission set assigned to the</w:t>
      </w:r>
    </w:p>
    <w:p>
      <w:pPr>
        <w:spacing w:after="100"/>
      </w:pPr>
      <w:r>
        <w:t xml:space="preserve">connector's user — see the IT box).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connector installer: </w:t>
      </w:r>
      <w:r>
        <w:rPr>
          <w:b/>
          <w:bCs/>
        </w:rPr>
        <w:t xml:space="preserve">`TallySalesforceConnector-Setup-2.2.1-qa.exe`</w:t>
      </w:r>
      <w:r>
        <w:t xml:space="preserve"> (or </w:t>
      </w:r>
      <w:r>
        <w:rPr>
          <w:rFonts w:ascii="Consolas" w:cs="Consolas" w:eastAsia="Consolas" w:hAnsi="Consolas"/>
          <w:shd w:fill="F0F0F0" w:val="clear"/>
        </w:rPr>
        <w:t xml:space="preserve">-qa-win7</w:t>
      </w:r>
      <w:r>
        <w:t xml:space="preserve"> for</w:t>
      </w:r>
    </w:p>
    <w:p>
      <w:pPr>
        <w:spacing w:after="100"/>
      </w:pPr>
      <w:r>
        <w:t xml:space="preserve">Windows 7/8).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Tally add-on file </w:t>
      </w:r>
      <w:r>
        <w:rPr>
          <w:b/>
          <w:bCs/>
        </w:rPr>
        <w:t xml:space="preserve">`MordeSAPID.tdl`</w:t>
      </w:r>
      <w:r>
        <w:t xml:space="preserve"> (we provide this).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distributor's </w:t>
      </w:r>
      <w:r>
        <w:rPr>
          <w:b/>
          <w:bCs/>
        </w:rPr>
        <w:t xml:space="preserve">Windows machine</w:t>
      </w:r>
      <w:r>
        <w:t xml:space="preserve"> with </w:t>
      </w:r>
      <w:r>
        <w:rPr>
          <w:b/>
          <w:bCs/>
        </w:rPr>
        <w:t xml:space="preserve">Tally</w:t>
      </w:r>
      <w:r>
        <w:t xml:space="preserve"> and their company loaded.</w:t>
      </w:r>
    </w:p>
    <w:p>
      <w:pPr>
        <w:pStyle w:val="Heading1"/>
        <w:spacing w:after="120" w:before="240"/>
      </w:pPr>
      <w:r>
        <w:t xml:space="preserve">Part 1 — Salesforce</w:t>
      </w:r>
    </w:p>
    <w:p>
      <w:pPr>
        <w:pStyle w:val="Heading2"/>
        <w:spacing w:after="80" w:before="180"/>
      </w:pPr>
      <w:r>
        <w:t xml:space="preserve">Step 1 — Create the distributor (Account) — </w:t>
      </w:r>
      <w:r>
        <w:rPr>
          <w:i/>
          <w:iCs/>
        </w:rPr>
        <w:t xml:space="preserve">1 record</w:t>
      </w:r>
    </w:p>
    <w:p>
      <w:pPr>
        <w:spacing w:after="100"/>
      </w:pPr>
      <w:r>
        <w:t xml:space="preserve">Create (or open) the distributor's </w:t>
      </w:r>
      <w:r>
        <w:rPr>
          <w:b/>
          <w:bCs/>
        </w:rPr>
        <w:t xml:space="preserve">Account</w:t>
      </w:r>
      <w:r>
        <w:t xml:space="preserve"> and set: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SAP Company Code</w:t>
      </w:r>
      <w:r>
        <w:t xml:space="preserve"> — a short code you choose, e.g. </w:t>
      </w:r>
      <w:r>
        <w:rPr>
          <w:rFonts w:ascii="Consolas" w:cs="Consolas" w:eastAsia="Consolas" w:hAnsi="Consolas"/>
          <w:shd w:fill="F0F0F0" w:val="clear"/>
        </w:rPr>
        <w:t xml:space="preserve">D01</w:t>
      </w:r>
      <w:r>
        <w:t xml:space="preserve">. *You'll type this exact code into</w:t>
      </w:r>
    </w:p>
    <w:p>
      <w:pPr>
        <w:spacing w:after="100"/>
      </w:pPr>
      <w:r>
        <w:t xml:space="preserve">the connector, so it's the link between the two.*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Distributor SAP ID</w:t>
      </w:r>
      <w:r>
        <w:t xml:space="preserve"> — the distributor's SAP number, e.g. </w:t>
      </w:r>
      <w:r>
        <w:rPr>
          <w:rFonts w:ascii="Consolas" w:cs="Consolas" w:eastAsia="Consolas" w:hAnsi="Consolas"/>
          <w:shd w:fill="F0F0F0" w:val="clear"/>
        </w:rPr>
        <w:t xml:space="preserve">100200</w:t>
      </w:r>
      <w:r>
        <w:t xml:space="preserve">. *Used as the prefix when</w:t>
      </w:r>
    </w:p>
    <w:p>
      <w:pPr>
        <w:spacing w:after="100"/>
      </w:pPr>
      <w:r>
        <w:t xml:space="preserve">the system auto-generates customer/product codes.*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Billing State</w:t>
      </w:r>
      <w:r>
        <w:t xml:space="preserve"> — the distributor's own state, e.g. </w:t>
      </w:r>
      <w:r>
        <w:rPr>
          <w:i/>
          <w:iCs/>
        </w:rPr>
        <w:t xml:space="preserve">Maharashtra</w:t>
      </w:r>
      <w:r>
        <w:t xml:space="preserve">. </w:t>
      </w:r>
      <w:r>
        <w:rPr>
          <w:b/>
          <w:bCs/>
        </w:rPr>
        <w:t xml:space="preserve">Required</w:t>
      </w:r>
      <w:r>
        <w:t xml:space="preserve"> — it decides</w:t>
      </w:r>
    </w:p>
    <w:p>
      <w:pPr>
        <w:spacing w:after="100"/>
      </w:pPr>
      <w:r>
        <w:t xml:space="preserve">whether a sale is taxed as same-state (CGST+SGST) or inter-state (IGST).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Record type </w:t>
      </w:r>
      <w:r>
        <w:rPr>
          <w:b/>
          <w:bCs/>
        </w:rPr>
        <w:t xml:space="preserve">Distributor</w:t>
      </w:r>
      <w:r>
        <w:t xml:space="preserve">, </w:t>
      </w:r>
      <w:r>
        <w:rPr>
          <w:b/>
          <w:bCs/>
        </w:rPr>
        <w:t xml:space="preserve">Active</w:t>
      </w:r>
      <w:r>
        <w:t xml:space="preserve"> = true.</w:t>
      </w:r>
    </w:p>
    <w:p>
      <w:pPr>
        <w:pStyle w:val="Heading2"/>
        <w:spacing w:after="80" w:before="180"/>
      </w:pPr>
      <w:r>
        <w:t xml:space="preserve">Step 2 — Switch on the syncs (Sync Config) — </w:t>
      </w:r>
      <w:r>
        <w:rPr>
          <w:i/>
          <w:iCs/>
        </w:rPr>
        <w:t xml:space="preserve">create 7 rows</w:t>
      </w:r>
    </w:p>
    <w:p>
      <w:pPr>
        <w:spacing w:after="100"/>
      </w:pPr>
      <w:r>
        <w:t xml:space="preserve">Create one </w:t>
      </w:r>
      <w:r>
        <w:rPr>
          <w:b/>
          <w:bCs/>
        </w:rPr>
        <w:t xml:space="preserve">Sync Config</w:t>
      </w:r>
      <w:r>
        <w:t xml:space="preserve"> record per item below. For every row: </w:t>
      </w:r>
      <w:r>
        <w:rPr>
          <w:b/>
          <w:bCs/>
        </w:rPr>
        <w:t xml:space="preserve">Enabled = true</w:t>
      </w:r>
      <w:r>
        <w:t xml:space="preserve">, **Account =</w:t>
      </w:r>
    </w:p>
    <w:p>
      <w:pPr>
        <w:spacing w:after="100"/>
      </w:pPr>
      <w:r>
        <w:t xml:space="preserve">the distributor Account</w:t>
      </w:r>
      <w:r>
        <w:rPr>
          <w:b/>
          <w:bCs/>
        </w:rPr>
        <w:t xml:space="preserve"> from Step 1, and a </w:t>
      </w:r>
      <w:r>
        <w:t xml:space="preserve">schedule*</w:t>
      </w:r>
      <w:r>
        <w:rPr>
          <w:i/>
          <w:iCs/>
        </w:rPr>
        <w:t xml:space="preserve"> (either </w:t>
      </w:r>
      <w:r>
        <w:t xml:space="preserve">Interval* every N minutes, or</w:t>
      </w:r>
    </w:p>
    <w:p>
      <w:pPr>
        <w:spacing w:after="100"/>
      </w:pPr>
      <w:r>
        <w:rPr>
          <w:i/>
          <w:iCs/>
        </w:rPr>
        <w:t xml:space="preserve">Daily</w:t>
      </w:r>
      <w:r>
        <w:t xml:space="preserve"> at a set time).</w:t>
      </w:r>
    </w:p>
    <w:p>
      <w:pPr>
        <w:spacing w:after="100"/>
      </w:pPr>
      <w:r>
        <w:t xml:space="preserve">| Object Type | Direction | What it syncs |</w:t>
      </w:r>
    </w:p>
    <w:p>
      <w:pPr>
        <w:spacing w:after="100"/>
      </w:pPr>
      <w:r>
        <w:t xml:space="preserve">|---|---|---|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Account</w:t>
      </w:r>
      <w:r>
        <w:t xml:space="preserve"> | Both | Customer/supplier ledgers — sends to Tally </w:t>
      </w:r>
      <w:r>
        <w:rPr>
          <w:b/>
          <w:bCs/>
        </w:rPr>
        <w:t xml:space="preserve">and</w:t>
      </w:r>
      <w:r>
        <w:t xml:space="preserve"> reads back (also fills each customer's State automatically) 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Product</w:t>
      </w:r>
      <w:r>
        <w:t xml:space="preserve"> | To Tally | Products / stock items → Tally </w:t>
      </w:r>
      <w:r>
        <w:rPr>
          <w:i/>
          <w:iCs/>
        </w:rPr>
        <w:t xml:space="preserve">(one-way; there is no product read-back)</w:t>
      </w:r>
      <w:r>
        <w:t xml:space="preserve"> 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Invoice</w:t>
      </w:r>
      <w:r>
        <w:t xml:space="preserve"> | Both | Sales invoices, both directions 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Purchase</w:t>
      </w:r>
      <w:r>
        <w:t xml:space="preserve"> | Both | Purchases, both directions 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Order</w:t>
      </w:r>
      <w:r>
        <w:t xml:space="preserve"> | Both | Sales &amp; purchase orders, both directions 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Note</w:t>
      </w:r>
      <w:r>
        <w:t xml:space="preserve"> | Both | Credit notes &amp; debit notes, both directions |</w:t>
      </w:r>
    </w:p>
    <w:p>
      <w:pPr>
        <w:spacing w:after="100"/>
      </w:pPr>
      <w:r>
        <w:t xml:space="preserve">| </w:t>
      </w:r>
      <w:r>
        <w:rPr>
          <w:b/>
          <w:bCs/>
        </w:rPr>
        <w:t xml:space="preserve">Purchase Order</w:t>
      </w:r>
      <w:r>
        <w:t xml:space="preserve"> | To Tally | Primary purchase orders (you → distributor) </w:t>
      </w:r>
      <w:r>
        <w:rPr>
          <w:i/>
          <w:iCs/>
        </w:rPr>
        <w:t xml:space="preserve">(one-way)</w:t>
      </w:r>
      <w:r>
        <w:t xml:space="preserve"> |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"Both"</w:t>
      </w:r>
      <w:r>
        <w:t xml:space="preserve"> = a single row drives </w:t>
      </w:r>
      <w:r>
        <w:rPr>
          <w:i/>
          <w:iCs/>
        </w:rPr>
        <w:t xml:space="preserve">both</w:t>
      </w:r>
      <w:r>
        <w:t xml:space="preserve"> directions. Prefer separate schedules per direction?</w:t>
      </w:r>
    </w:p>
    <w:p>
      <w:pPr>
        <w:spacing w:after="100"/>
      </w:pPr>
      <w:r>
        <w:t xml:space="preserve">Create two rows instead (one </w:t>
      </w:r>
      <w:r>
        <w:rPr>
          <w:i/>
          <w:iCs/>
        </w:rPr>
        <w:t xml:space="preserve">To Tally</w:t>
      </w:r>
      <w:r>
        <w:t xml:space="preserve">, one </w:t>
      </w:r>
      <w:r>
        <w:rPr>
          <w:i/>
          <w:iCs/>
        </w:rPr>
        <w:t xml:space="preserve">To Salesforce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Account</w:t>
      </w:r>
      <w:r>
        <w:t xml:space="preserve"> and </w:t>
      </w:r>
      <w:r>
        <w:rPr>
          <w:b/>
          <w:bCs/>
        </w:rPr>
        <w:t xml:space="preserve">Product</w:t>
      </w:r>
      <w:r>
        <w:t xml:space="preserve"> run </w:t>
      </w:r>
      <w:r>
        <w:rPr>
          <w:b/>
          <w:bCs/>
        </w:rPr>
        <w:t xml:space="preserve">before</w:t>
      </w:r>
      <w:r>
        <w:t xml:space="preserve"> the transaction rows each cycle, so the people and</w:t>
      </w:r>
    </w:p>
    <w:p>
      <w:pPr>
        <w:spacing w:after="100"/>
      </w:pPr>
      <w:r>
        <w:t xml:space="preserve">products a voucher refers to always exist first.</w:t>
      </w:r>
    </w:p>
    <w:p>
      <w:pPr>
        <w:pStyle w:val="Heading2"/>
        <w:spacing w:after="80" w:before="180"/>
      </w:pPr>
      <w:r>
        <w:t xml:space="preserve">Step 3 — Make sure the supporting data is complete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Every </w:t>
      </w:r>
      <w:r>
        <w:rPr>
          <w:b/>
          <w:bCs/>
        </w:rPr>
        <w:t xml:space="preserve">customer / supplier Account</w:t>
      </w:r>
      <w:r>
        <w:t xml:space="preserve"> that will sync needs a </w:t>
      </w:r>
      <w:r>
        <w:rPr>
          <w:b/>
          <w:bCs/>
        </w:rPr>
        <w:t xml:space="preserve">Billing State</w:t>
      </w:r>
      <w:r>
        <w:t xml:space="preserve"> (same reason as</w:t>
      </w:r>
    </w:p>
    <w:p>
      <w:pPr>
        <w:spacing w:after="100"/>
      </w:pPr>
      <w:r>
        <w:t xml:space="preserve">the distributor's — it drives GST, and it's required).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Every </w:t>
      </w:r>
      <w:r>
        <w:rPr>
          <w:b/>
          <w:bCs/>
        </w:rPr>
        <w:t xml:space="preserve">product</w:t>
      </w:r>
      <w:r>
        <w:t xml:space="preserve"> needs its </w:t>
      </w:r>
      <w:r>
        <w:rPr>
          <w:b/>
          <w:bCs/>
        </w:rPr>
        <w:t xml:space="preserve">GST %</w:t>
      </w:r>
      <w:r>
        <w:t xml:space="preserve"> filled in (a product with no rate is sold with no tax).</w:t>
      </w:r>
    </w:p>
    <w:p>
      <w:pPr>
        <w:pStyle w:val="Heading1"/>
        <w:spacing w:after="120" w:before="240"/>
      </w:pPr>
      <w:r>
        <w:t xml:space="preserve">Part 2 — The distributor's Tally (one time)</w:t>
      </w:r>
    </w:p>
    <w:p>
      <w:pPr>
        <w:spacing w:after="100"/>
      </w:pPr>
      <w:r>
        <w:t xml:space="preserve">On the distributor's machine, in Tally:</w:t>
      </w:r>
    </w:p>
    <w:p>
      <w:pPr>
        <w:pStyle w:val="Heading2"/>
        <w:spacing w:after="80" w:before="180"/>
      </w:pPr>
      <w:r>
        <w:t xml:space="preserve">Step 1 — Load the Morde add-on (</w:t>
      </w:r>
      <w:r>
        <w:rPr>
          <w:rFonts w:ascii="Consolas" w:cs="Consolas" w:eastAsia="Consolas" w:hAnsi="Consolas"/>
          <w:shd w:fill="F0F0F0" w:val="clear"/>
        </w:rPr>
        <w:t xml:space="preserve">MordeSAPID.tdl</w:t>
      </w:r>
      <w:r>
        <w:t xml:space="preserve">) — </w:t>
      </w:r>
      <w:r>
        <w:rPr>
          <w:b/>
          <w:bCs/>
        </w:rPr>
        <w:t xml:space="preserve">required</w:t>
      </w:r>
    </w:p>
    <w:p>
      <w:pPr>
        <w:spacing w:after="100"/>
      </w:pPr>
      <w:r>
        <w:rPr>
          <w:i/>
          <w:iCs/>
        </w:rPr>
        <w:t xml:space="preserve">This lets the connector tag records so nothing is ever duplicated.</w:t>
      </w:r>
    </w:p>
    <w:p>
      <w:pPr>
        <w:spacing w:after="40"/>
        <w:ind w:left="360" w:hanging="260"/>
      </w:pPr>
      <w:r>
        <w:rPr>
          <w:b/>
          <w:bCs/>
        </w:rPr>
        <w:t xml:space="preserve">1. </w:t>
      </w:r>
      <w:r>
        <w:t xml:space="preserve">Copy the </w:t>
      </w:r>
      <w:r>
        <w:rPr>
          <w:rFonts w:ascii="Consolas" w:cs="Consolas" w:eastAsia="Consolas" w:hAnsi="Consolas"/>
          <w:shd w:fill="F0F0F0" w:val="clear"/>
        </w:rPr>
        <w:t xml:space="preserve">MordeSAPID.tdl</w:t>
      </w:r>
      <w:r>
        <w:t xml:space="preserve"> file onto the machine (e.g. the Desktop).</w:t>
      </w:r>
    </w:p>
    <w:p>
      <w:pPr>
        <w:spacing w:after="40"/>
        <w:ind w:left="360" w:hanging="260"/>
      </w:pPr>
      <w:r>
        <w:rPr>
          <w:b/>
          <w:bCs/>
        </w:rPr>
        <w:t xml:space="preserve">2. </w:t>
      </w:r>
      <w:r>
        <w:t xml:space="preserve">Press </w:t>
      </w:r>
      <w:r>
        <w:rPr>
          <w:b/>
          <w:bCs/>
        </w:rPr>
        <w:t xml:space="preserve">F1 (Help) → TDL &amp; Add-On</w:t>
      </w:r>
      <w:r>
        <w:t xml:space="preserve"> (older Tally: </w:t>
      </w:r>
      <w:r>
        <w:rPr>
          <w:i/>
          <w:iCs/>
        </w:rPr>
        <w:t xml:space="preserve">F1 → TDL Configuration</w:t>
      </w:r>
      <w:r>
        <w:t xml:space="preserve">).</w:t>
      </w:r>
    </w:p>
    <w:p>
      <w:pPr>
        <w:spacing w:after="40"/>
        <w:ind w:left="360" w:hanging="260"/>
      </w:pPr>
      <w:r>
        <w:rPr>
          <w:b/>
          <w:bCs/>
        </w:rPr>
        <w:t xml:space="preserve">3. </w:t>
      </w:r>
      <w:r>
        <w:t xml:space="preserve">Choose </w:t>
      </w:r>
      <w:r>
        <w:rPr>
          <w:b/>
          <w:bCs/>
        </w:rPr>
        <w:t xml:space="preserve">Manage Local TDLs</w:t>
      </w:r>
      <w:r>
        <w:t xml:space="preserve">, set </w:t>
      </w:r>
      <w:r>
        <w:rPr>
          <w:i/>
          <w:iCs/>
        </w:rPr>
        <w:t xml:space="preserve">Load TDL on startup</w:t>
      </w:r>
      <w:r>
        <w:t xml:space="preserve"> = </w:t>
      </w:r>
      <w:r>
        <w:rPr>
          <w:b/>
          <w:bCs/>
        </w:rPr>
        <w:t xml:space="preserve">Yes</w:t>
      </w:r>
      <w:r>
        <w:t xml:space="preserve">, and add the full path to</w:t>
      </w:r>
    </w:p>
    <w:p>
      <w:pPr>
        <w:spacing w:after="100"/>
      </w:pPr>
      <w:r>
        <w:rPr>
          <w:rFonts w:ascii="Consolas" w:cs="Consolas" w:eastAsia="Consolas" w:hAnsi="Consolas"/>
          <w:shd w:fill="F0F0F0" w:val="clear"/>
        </w:rPr>
        <w:t xml:space="preserve">MordeSAPID.tdl</w:t>
      </w:r>
      <w:r>
        <w:t xml:space="preserve">.</w:t>
      </w:r>
    </w:p>
    <w:p>
      <w:pPr>
        <w:spacing w:after="40"/>
        <w:ind w:left="360" w:hanging="260"/>
      </w:pPr>
      <w:r>
        <w:rPr>
          <w:b/>
          <w:bCs/>
        </w:rPr>
        <w:t xml:space="preserve">4. </w:t>
      </w:r>
      <w:r>
        <w:rPr>
          <w:b/>
          <w:bCs/>
        </w:rPr>
        <w:t xml:space="preserve">Accept</w:t>
      </w:r>
      <w:r>
        <w:t xml:space="preserve">, then </w:t>
      </w:r>
      <w:r>
        <w:rPr>
          <w:b/>
          <w:bCs/>
        </w:rPr>
        <w:t xml:space="preserve">restart Tally.</w:t>
      </w:r>
    </w:p>
    <w:p>
      <w:pPr>
        <w:pStyle w:val="Heading2"/>
        <w:spacing w:after="80" w:before="180"/>
      </w:pPr>
      <w:r>
        <w:t xml:space="preserve">Step 2 — Let the connector reach Tally (port 9000) — </w:t>
      </w:r>
      <w:r>
        <w:rPr>
          <w:b/>
          <w:bCs/>
        </w:rPr>
        <w:t xml:space="preserve">required</w:t>
      </w:r>
    </w:p>
    <w:p>
      <w:pPr>
        <w:spacing w:after="100"/>
      </w:pPr>
      <w:r>
        <w:t xml:space="preserve">Tally must run as a </w:t>
      </w:r>
      <w:r>
        <w:rPr>
          <w:i/>
          <w:iCs/>
        </w:rPr>
        <w:t xml:space="preserve">server</w:t>
      </w:r>
      <w:r>
        <w:t xml:space="preserve"> on the machine: </w:t>
      </w:r>
      <w:r>
        <w:rPr>
          <w:b/>
          <w:bCs/>
        </w:rPr>
        <w:t xml:space="preserve">F1 (Help) → Settings → Connectivity</w:t>
      </w:r>
      <w:r>
        <w:t xml:space="preserve"> (older Tally:</w:t>
      </w:r>
    </w:p>
    <w:p>
      <w:pPr>
        <w:spacing w:after="100"/>
      </w:pPr>
      <w:r>
        <w:rPr>
          <w:i/>
          <w:iCs/>
        </w:rPr>
        <w:t xml:space="preserve">F1 → Advanced Configuration</w:t>
      </w:r>
      <w:r>
        <w:t xml:space="preserve">) → set TallyPrime to </w:t>
      </w:r>
      <w:r>
        <w:rPr>
          <w:b/>
          <w:bCs/>
        </w:rPr>
        <w:t xml:space="preserve">act as Server</w:t>
      </w:r>
      <w:r>
        <w:t xml:space="preserve">, </w:t>
      </w:r>
      <w:r>
        <w:rPr>
          <w:b/>
          <w:bCs/>
        </w:rPr>
        <w:t xml:space="preserve">Port 9000</w:t>
      </w:r>
      <w:r>
        <w:t xml:space="preserve">. *If this is</w:t>
      </w:r>
    </w:p>
    <w:p>
      <w:pPr>
        <w:spacing w:after="100"/>
      </w:pPr>
      <w:r>
        <w:t xml:space="preserve">off, nothing syncs.* Keep Tally open while the connector runs.</w:t>
      </w:r>
    </w:p>
    <w:p>
      <w:pPr>
        <w:pStyle w:val="Heading2"/>
        <w:spacing w:after="80" w:before="180"/>
      </w:pPr>
      <w:r>
        <w:t xml:space="preserve">Step 3 — Turn on the features the flows need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Order processing</w:t>
      </w:r>
      <w:r>
        <w:t xml:space="preserve"> (sales orders and purchase orders) — in Features (</w:t>
      </w:r>
      <w:r>
        <w:rPr>
          <w:b/>
          <w:bCs/>
        </w:rPr>
        <w:t xml:space="preserve">F11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GST</w:t>
      </w:r>
      <w:r>
        <w:t xml:space="preserve"> — in Features (</w:t>
      </w:r>
      <w:r>
        <w:rPr>
          <w:b/>
          <w:bCs/>
        </w:rPr>
        <w:t xml:space="preserve">F11</w:t>
      </w:r>
      <w:r>
        <w:t xml:space="preserve">). *The connector creates its own GST tax ledgers automatically;</w:t>
      </w:r>
    </w:p>
    <w:p>
      <w:pPr>
        <w:spacing w:after="100"/>
      </w:pPr>
      <w:r>
        <w:t xml:space="preserve">you don't make them by hand.*</w:t>
      </w:r>
    </w:p>
    <w:p>
      <w:pPr>
        <w:pStyle w:val="Heading2"/>
        <w:spacing w:after="80" w:before="180"/>
      </w:pPr>
      <w:r>
        <w:t xml:space="preserve">Step 4 — Check the period</w:t>
      </w:r>
    </w:p>
    <w:p>
      <w:pPr>
        <w:spacing w:after="100"/>
      </w:pPr>
      <w:r>
        <w:t xml:space="preserve">Make sure the company's </w:t>
      </w:r>
      <w:r>
        <w:rPr>
          <w:b/>
          <w:bCs/>
        </w:rPr>
        <w:t xml:space="preserve">current period/date</w:t>
      </w:r>
      <w:r>
        <w:t xml:space="preserve"> covers the dates you'll be entering, or Tally</w:t>
      </w:r>
    </w:p>
    <w:p>
      <w:pPr>
        <w:spacing w:after="100"/>
      </w:pPr>
      <w:r>
        <w:t xml:space="preserve">rejects vouchers.</w:t>
      </w:r>
    </w:p>
    <w:p>
      <w:pPr>
        <w:spacing w:after="100"/>
      </w:pPr>
      <w:r>
        <w:rPr>
          <w:i/>
          <w:iCs/>
        </w:rPr>
        <w:t xml:space="preserve">(Tip: fill in each customer/supplier's </w:t>
      </w:r>
      <w:r>
        <w:rPr>
          <w:i/>
          <w:iCs/>
        </w:rPr>
        <w:t xml:space="preserve">State</w:t>
      </w:r>
      <w:r>
        <w:rPr>
          <w:i/>
          <w:iCs/>
        </w:rPr>
        <w:t xml:space="preserve"> and </w:t>
      </w:r>
      <w:r>
        <w:rPr>
          <w:i/>
          <w:iCs/>
        </w:rPr>
        <w:t xml:space="preserve">GSTIN</w:t>
      </w:r>
      <w:r>
        <w:t xml:space="preserve">* in Tally — the connector reads</w:t>
      </w:r>
    </w:p>
    <w:p>
      <w:pPr>
        <w:spacing w:after="100"/>
      </w:pPr>
      <w:r>
        <w:t xml:space="preserve">these and copies the State up to Salesforce automatically.)*</w:t>
      </w:r>
    </w:p>
    <w:p>
      <w:pPr>
        <w:pStyle w:val="Heading1"/>
        <w:spacing w:after="120" w:before="240"/>
      </w:pPr>
      <w:r>
        <w:t xml:space="preserve">Part 3 — Install &amp; run the connector</w:t>
      </w:r>
    </w:p>
    <w:p>
      <w:pPr>
        <w:pStyle w:val="Heading2"/>
        <w:spacing w:after="80" w:before="180"/>
      </w:pPr>
      <w:r>
        <w:t xml:space="preserve">Step 1 — Install</w:t>
      </w:r>
    </w:p>
    <w:p>
      <w:pPr>
        <w:spacing w:after="100"/>
      </w:pPr>
      <w:r>
        <w:t xml:space="preserve">Run </w:t>
      </w:r>
      <w:r>
        <w:rPr>
          <w:b/>
          <w:bCs/>
        </w:rPr>
        <w:t xml:space="preserve">`TallySalesforceConnector-Setup-2.2.1-qa.exe`</w:t>
      </w:r>
      <w:r>
        <w:t xml:space="preserve"> (or </w:t>
      </w:r>
      <w:r>
        <w:rPr>
          <w:rFonts w:ascii="Consolas" w:cs="Consolas" w:eastAsia="Consolas" w:hAnsi="Consolas"/>
          <w:shd w:fill="F0F0F0" w:val="clear"/>
        </w:rPr>
        <w:t xml:space="preserve">-qa-win7</w:t>
      </w:r>
      <w:r>
        <w:t xml:space="preserve">). It's pre-connected to</w:t>
      </w:r>
    </w:p>
    <w:p>
      <w:pPr>
        <w:spacing w:after="100"/>
      </w:pPr>
      <w:r>
        <w:t xml:space="preserve">Salesforce — no logins or passwords to enter.</w:t>
      </w:r>
    </w:p>
    <w:p>
      <w:pPr>
        <w:pStyle w:val="Heading2"/>
        <w:spacing w:after="80" w:before="180"/>
      </w:pPr>
      <w:r>
        <w:t xml:space="preserve">Step 2 — Point it at the distributor</w:t>
      </w:r>
    </w:p>
    <w:p>
      <w:pPr>
        <w:spacing w:after="100"/>
      </w:pPr>
      <w:r>
        <w:t xml:space="preserve">Launch it — a page opens at </w:t>
      </w:r>
      <w:r>
        <w:rPr>
          <w:b/>
          <w:bCs/>
        </w:rPr>
        <w:t xml:space="preserve">localhost:3000</w:t>
      </w:r>
      <w:r>
        <w:t xml:space="preserve">. Enter the </w:t>
      </w:r>
      <w:r>
        <w:rPr>
          <w:b/>
          <w:bCs/>
        </w:rPr>
        <w:t xml:space="preserve">Distributor SAP Company Code</w:t>
      </w:r>
      <w:r>
        <w:t xml:space="preserve"> (e.g.</w:t>
      </w:r>
    </w:p>
    <w:p>
      <w:pPr>
        <w:spacing w:after="100"/>
      </w:pPr>
      <w:r>
        <w:rPr>
          <w:rFonts w:ascii="Consolas" w:cs="Consolas" w:eastAsia="Consolas" w:hAnsi="Consolas"/>
          <w:shd w:fill="F0F0F0" w:val="clear"/>
        </w:rPr>
        <w:t xml:space="preserve">D01</w:t>
      </w:r>
      <w:r>
        <w:t xml:space="preserve">) — it must match </w:t>
      </w:r>
      <w:r>
        <w:rPr>
          <w:b/>
          <w:bCs/>
        </w:rPr>
        <w:t xml:space="preserve">exactly</w:t>
      </w:r>
      <w:r>
        <w:t xml:space="preserve"> what you set on the Account in Part 1, Step 1.</w:t>
      </w:r>
    </w:p>
    <w:p>
      <w:pPr>
        <w:pStyle w:val="Heading2"/>
        <w:spacing w:after="80" w:before="180"/>
      </w:pPr>
      <w:r>
        <w:t xml:space="preserve">Step 3 — (Only if the distributor already has existing ledgers) fill in their States once</w:t>
      </w:r>
    </w:p>
    <w:p>
      <w:pPr>
        <w:spacing w:after="100"/>
      </w:pPr>
      <w:r>
        <w:t xml:space="preserve">Existing customer ledgers won't get a State on their own. From the connector's install folder, run: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preview (no changes): </w:t>
      </w:r>
      <w:r>
        <w:rPr>
          <w:rFonts w:ascii="Consolas" w:cs="Consolas" w:eastAsia="Consolas" w:hAnsi="Consolas"/>
          <w:shd w:fill="F0F0F0" w:val="clear"/>
        </w:rPr>
        <w:t xml:space="preserve">node dist\runSync.mjs --backfill-account-states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apply: </w:t>
      </w:r>
      <w:r>
        <w:rPr>
          <w:rFonts w:ascii="Consolas" w:cs="Consolas" w:eastAsia="Consolas" w:hAnsi="Consolas"/>
          <w:shd w:fill="F0F0F0" w:val="clear"/>
        </w:rPr>
        <w:t xml:space="preserve">node dist\runSync.mjs --backfill-account-states --live</w:t>
      </w:r>
    </w:p>
    <w:p>
      <w:pPr>
        <w:pStyle w:val="Heading2"/>
        <w:spacing w:after="80" w:before="180"/>
      </w:pPr>
      <w:r>
        <w:t xml:space="preserve">Step 4 — Let it run</w:t>
      </w:r>
    </w:p>
    <w:p>
      <w:pPr>
        <w:spacing w:after="100"/>
      </w:pPr>
      <w:r>
        <w:t xml:space="preserve">The connector runs quietly in the background on the schedule you set and restarts with the</w:t>
      </w:r>
    </w:p>
    <w:p>
      <w:pPr>
        <w:spacing w:after="100"/>
      </w:pPr>
      <w:r>
        <w:t xml:space="preserve">computer. (Click </w:t>
      </w:r>
      <w:r>
        <w:rPr>
          <w:b/>
          <w:bCs/>
        </w:rPr>
        <w:t xml:space="preserve">Run Now</w:t>
      </w:r>
      <w:r>
        <w:t xml:space="preserve"> in the connector if you want to trigger a cycle immediately.)</w:t>
      </w:r>
    </w:p>
    <w:p>
      <w:pPr>
        <w:pStyle w:val="Heading1"/>
        <w:spacing w:after="120" w:before="240"/>
      </w:pPr>
      <w:r>
        <w:t xml:space="preserve">Part 4 — Verify (one test)</w:t>
      </w:r>
    </w:p>
    <w:p>
      <w:pPr>
        <w:spacing w:after="40"/>
        <w:ind w:left="360" w:hanging="260"/>
      </w:pPr>
      <w:r>
        <w:rPr>
          <w:b/>
          <w:bCs/>
        </w:rPr>
        <w:t xml:space="preserve">1. </w:t>
      </w:r>
      <w:r>
        <w:t xml:space="preserve">In Salesforce, create a </w:t>
      </w:r>
      <w:r>
        <w:rPr>
          <w:b/>
          <w:bCs/>
        </w:rPr>
        <w:t xml:space="preserve">test customer</w:t>
      </w:r>
      <w:r>
        <w:t xml:space="preserve"> for this distributor — </w:t>
      </w:r>
      <w:r>
        <w:rPr>
          <w:b/>
          <w:bCs/>
        </w:rPr>
        <w:t xml:space="preserve">with a Billing State</w:t>
      </w:r>
      <w:r>
        <w:t xml:space="preserve">.</w:t>
      </w:r>
    </w:p>
    <w:p>
      <w:pPr>
        <w:spacing w:after="40"/>
        <w:ind w:left="360" w:hanging="260"/>
      </w:pPr>
      <w:r>
        <w:rPr>
          <w:b/>
          <w:bCs/>
        </w:rPr>
        <w:t xml:space="preserve">2. </w:t>
      </w:r>
      <w:r>
        <w:t xml:space="preserve">In the connector, click </w:t>
      </w:r>
      <w:r>
        <w:rPr>
          <w:b/>
          <w:bCs/>
        </w:rPr>
        <w:t xml:space="preserve">Run Now</w:t>
      </w:r>
      <w:r>
        <w:t xml:space="preserve"> (or wait for the schedule).</w:t>
      </w:r>
    </w:p>
    <w:p>
      <w:pPr>
        <w:spacing w:after="40"/>
        <w:ind w:left="360" w:hanging="260"/>
      </w:pPr>
      <w:r>
        <w:rPr>
          <w:b/>
          <w:bCs/>
        </w:rPr>
        <w:t xml:space="preserve">3. </w:t>
      </w:r>
      <w:r>
        <w:t xml:space="preserve">In Tally, confirm the customer ledger now appears (Gateway → Ledgers). Back in Salesforce, the</w:t>
      </w:r>
    </w:p>
    <w:p>
      <w:pPr>
        <w:spacing w:after="100"/>
      </w:pPr>
      <w:r>
        <w:t xml:space="preserve">record now shows a </w:t>
      </w:r>
      <w:r>
        <w:rPr>
          <w:b/>
          <w:bCs/>
        </w:rPr>
        <w:t xml:space="preserve">Tally reference</w:t>
      </w:r>
      <w:r>
        <w:t xml:space="preserve"> — the two are linked.</w:t>
      </w:r>
    </w:p>
    <w:p>
      <w:pPr>
        <w:spacing w:after="40"/>
        <w:ind w:left="360" w:hanging="260"/>
      </w:pPr>
      <w:r>
        <w:rPr>
          <w:b/>
          <w:bCs/>
        </w:rPr>
        <w:t xml:space="preserve">4. </w:t>
      </w:r>
      <w:r>
        <w:t xml:space="preserve">Enter a </w:t>
      </w:r>
      <w:r>
        <w:rPr>
          <w:b/>
          <w:bCs/>
        </w:rPr>
        <w:t xml:space="preserve">purchase</w:t>
      </w:r>
      <w:r>
        <w:t xml:space="preserve"> (goods in) and a </w:t>
      </w:r>
      <w:r>
        <w:rPr>
          <w:b/>
          <w:bCs/>
        </w:rPr>
        <w:t xml:space="preserve">sales invoice</w:t>
      </w:r>
      <w:r>
        <w:t xml:space="preserve"> (goods out). Confirm: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stock goes </w:t>
      </w:r>
      <w:r>
        <w:rPr>
          <w:b/>
          <w:bCs/>
        </w:rPr>
        <w:t xml:space="preserve">up</w:t>
      </w:r>
      <w:r>
        <w:t xml:space="preserve"> on the purchase, </w:t>
      </w:r>
      <w:r>
        <w:rPr>
          <w:b/>
          <w:bCs/>
        </w:rPr>
        <w:t xml:space="preserve">down</w:t>
      </w:r>
      <w:r>
        <w:t xml:space="preserve"> on the sale;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GST is correct: </w:t>
      </w:r>
      <w:r>
        <w:rPr>
          <w:b/>
          <w:bCs/>
        </w:rPr>
        <w:t xml:space="preserve">same state</w:t>
      </w:r>
      <w:r>
        <w:t xml:space="preserve"> → CGST + SGST; </w:t>
      </w:r>
      <w:r>
        <w:rPr>
          <w:b/>
          <w:bCs/>
        </w:rPr>
        <w:t xml:space="preserve">different state</w:t>
      </w:r>
      <w:r>
        <w:t xml:space="preserve"> → IGST.</w:t>
      </w:r>
    </w:p>
    <w:p>
      <w:pPr>
        <w:spacing w:after="40"/>
        <w:ind w:left="360" w:hanging="260"/>
      </w:pPr>
      <w:r>
        <w:rPr>
          <w:b/>
          <w:bCs/>
        </w:rPr>
        <w:t xml:space="preserve">5. </w:t>
      </w:r>
      <w:r>
        <w:t xml:space="preserve">Try a </w:t>
      </w:r>
      <w:r>
        <w:rPr>
          <w:b/>
          <w:bCs/>
        </w:rPr>
        <w:t xml:space="preserve">Credit Note</w:t>
      </w:r>
      <w:r>
        <w:t xml:space="preserve"> (sales return → stock back, reduces output tax) and a </w:t>
      </w:r>
      <w:r>
        <w:rPr>
          <w:b/>
          <w:bCs/>
        </w:rPr>
        <w:t xml:space="preserve">Debit Note</w:t>
      </w:r>
    </w:p>
    <w:p>
      <w:pPr>
        <w:spacing w:after="100"/>
      </w:pPr>
      <w:r>
        <w:t xml:space="preserve">(purchase return → stock out, reduces input tax).</w:t>
      </w:r>
    </w:p>
    <w:p>
      <w:pPr>
        <w:spacing w:after="40"/>
        <w:ind w:left="360" w:hanging="260"/>
      </w:pPr>
      <w:r>
        <w:rPr>
          <w:b/>
          <w:bCs/>
        </w:rPr>
        <w:t xml:space="preserve">6. </w:t>
      </w:r>
      <w:r>
        <w:t xml:space="preserve">Watch the </w:t>
      </w:r>
      <w:r>
        <w:rPr>
          <w:b/>
          <w:bCs/>
        </w:rPr>
        <w:t xml:space="preserve">activity log</w:t>
      </w:r>
      <w:r>
        <w:t xml:space="preserve"> (Trigger Log) for each run's status and any errors.</w:t>
      </w:r>
    </w:p>
    <w:p>
      <w:pPr>
        <w:pStyle w:val="Heading1"/>
        <w:spacing w:after="120" w:before="240"/>
      </w:pPr>
      <w:r>
        <w:t xml:space="preserve">How GST &amp; State work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Rate</w:t>
      </w:r>
      <w:r>
        <w:t xml:space="preserve"> comes from each product's </w:t>
      </w:r>
      <w:r>
        <w:rPr>
          <w:b/>
          <w:bCs/>
        </w:rPr>
        <w:t xml:space="preserve">GST %</w:t>
      </w:r>
      <w:r>
        <w:t xml:space="preserve">. No rate → 0 tax (and a warning).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Same-state vs inter-state</w:t>
      </w:r>
      <w:r>
        <w:t xml:space="preserve"> is decided from the </w:t>
      </w:r>
      <w:r>
        <w:rPr>
          <w:b/>
          <w:bCs/>
        </w:rPr>
        <w:t xml:space="preserve">distributor's State</w:t>
      </w:r>
      <w:r>
        <w:t xml:space="preserve"> vs the **customer's</w:t>
      </w:r>
    </w:p>
    <w:p>
      <w:pPr>
        <w:spacing w:after="100"/>
      </w:pPr>
      <w:r>
        <w:t xml:space="preserve">State</w:t>
      </w:r>
      <w:r>
        <w:rPr>
          <w:b/>
          <w:bCs/>
        </w:rPr>
        <w:t xml:space="preserve">. Same → </w:t>
      </w:r>
      <w:r>
        <w:t xml:space="preserve">CGST + SGST</w:t>
      </w:r>
      <w:r>
        <w:rPr>
          <w:b/>
          <w:bCs/>
        </w:rPr>
        <w:t xml:space="preserve">; different → </w:t>
      </w:r>
      <w:r>
        <w:t xml:space="preserve">IGST**. If a State is missing it falls back to</w:t>
      </w:r>
    </w:p>
    <w:p>
      <w:pPr>
        <w:spacing w:after="100"/>
      </w:pPr>
      <w:r>
        <w:t xml:space="preserve">same-state — which is why State is required on everyone.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connector works out a customer's State from their Tally ledger's </w:t>
      </w:r>
      <w:r>
        <w:rPr>
          <w:b/>
          <w:bCs/>
        </w:rPr>
        <w:t xml:space="preserve">State</w:t>
      </w:r>
      <w:r>
        <w:t xml:space="preserve"> (or their</w:t>
      </w:r>
    </w:p>
    <w:p>
      <w:pPr>
        <w:spacing w:after="100"/>
      </w:pPr>
      <w:r>
        <w:rPr>
          <w:b/>
          <w:bCs/>
        </w:rPr>
        <w:t xml:space="preserve">GSTIN</w:t>
      </w:r>
      <w:r>
        <w:t xml:space="preserve">) and copies it into Salesforce automatically.</w:t>
      </w:r>
    </w:p>
    <w:p>
      <w:pPr>
        <w:pStyle w:val="Heading1"/>
        <w:spacing w:after="120" w:before="240"/>
      </w:pPr>
      <w:r>
        <w:t xml:space="preserve">If something goes wrong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"A Billing State is required."</w:t>
      </w:r>
      <w:r>
        <w:t xml:space="preserve"> — The customer (or distributor) record has no State. Add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Tax looks wrong (CGST/SGST vs IGST).</w:t>
      </w:r>
      <w:r>
        <w:t xml:space="preserve"> — Check both the distributor's and the customer's State.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A product sold with no tax.</w:t>
      </w:r>
      <w:r>
        <w:t xml:space="preserve"> — That product is missing its GST %.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Nothing syncs.</w:t>
      </w:r>
      <w:r>
        <w:t xml:space="preserve"> — Check the Sync Config is </w:t>
      </w:r>
      <w:r>
        <w:rPr>
          <w:b/>
          <w:bCs/>
        </w:rPr>
        <w:t xml:space="preserve">Enabled</w:t>
      </w:r>
      <w:r>
        <w:t xml:space="preserve">, the </w:t>
      </w:r>
      <w:r>
        <w:rPr>
          <w:b/>
          <w:bCs/>
        </w:rPr>
        <w:t xml:space="preserve">SAP Company Code</w:t>
      </w:r>
      <w:r>
        <w:t xml:space="preserve"> matches</w:t>
      </w:r>
    </w:p>
    <w:p>
      <w:pPr>
        <w:spacing w:after="100"/>
      </w:pPr>
      <w:r>
        <w:t xml:space="preserve">exactly, and </w:t>
      </w:r>
      <w:r>
        <w:rPr>
          <w:b/>
          <w:bCs/>
        </w:rPr>
        <w:t xml:space="preserve">Tally is open and acting as a server on port 9000</w:t>
      </w:r>
      <w:r>
        <w:t xml:space="preserve">. Then check the activity log.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"Voucher date is missing."</w:t>
      </w:r>
      <w:r>
        <w:t xml:space="preserve"> — The date is outside Tally's open period; use an in-period date.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Some old customers keep failing with "State required."</w:t>
      </w:r>
      <w:r>
        <w:t xml:space="preserve"> — Their Tally ledgers have no State;</w:t>
      </w:r>
    </w:p>
    <w:p>
      <w:pPr>
        <w:spacing w:after="100"/>
      </w:pPr>
      <w:r>
        <w:t xml:space="preserve">add it in Tally (or run the backfill in Part 3, Step 3). Once fixed they sync on the next run.</w:t>
      </w:r>
    </w:p>
    <w:p>
      <w:pPr>
        <w:pStyle w:val="Heading2"/>
        <w:spacing w:after="80" w:before="180"/>
      </w:pPr>
      <w:r>
        <w:t xml:space="preserve">📦 For your IT team — one-time technical setup (per Salesforce org, not per distributor)</w:t>
      </w:r>
    </w:p>
    <w:p>
      <w:pPr>
        <w:spacing w:after="40"/>
        <w:ind w:left="360" w:hanging="260"/>
      </w:pPr>
      <w:r>
        <w:rPr>
          <w:b/>
          <w:bCs/>
        </w:rPr>
        <w:t xml:space="preserve">1. </w:t>
      </w:r>
      <w:r>
        <w:rPr>
          <w:b/>
          <w:bCs/>
        </w:rPr>
        <w:t xml:space="preserve">Permission set.</w:t>
      </w:r>
      <w:r>
        <w:t xml:space="preserve"> Assign </w:t>
      </w:r>
      <w:r>
        <w:rPr>
          <w:b/>
          <w:bCs/>
        </w:rPr>
        <w:t xml:space="preserve">Tally Sync Integration</w:t>
      </w:r>
      <w:r>
        <w:t xml:space="preserve"> to the integration user the connector</w:t>
      </w:r>
    </w:p>
    <w:p>
      <w:pPr>
        <w:spacing w:after="100"/>
      </w:pPr>
      <w:r>
        <w:t xml:space="preserve">signs in as (Setup → Permission Sets → </w:t>
      </w:r>
      <w:r>
        <w:rPr>
          <w:i/>
          <w:iCs/>
        </w:rPr>
        <w:t xml:space="preserve">Manage Assignments</w:t>
      </w:r>
      <w:r>
        <w:t xml:space="preserve">). It grants the staging objects,</w:t>
      </w:r>
    </w:p>
    <w:p>
      <w:pPr>
        <w:spacing w:after="100"/>
      </w:pPr>
      <w:r>
        <w:t xml:space="preserve">the Purchase Order objects, and the </w:t>
      </w:r>
      <w:r>
        <w:rPr>
          <w:rFonts w:ascii="Consolas" w:cs="Consolas" w:eastAsia="Consolas" w:hAnsi="Consolas"/>
          <w:shd w:fill="F0F0F0" w:val="clear"/>
        </w:rPr>
        <w:t xml:space="preserve">Tally_Account__c</w:t>
      </w:r>
      <w:r>
        <w:t xml:space="preserve"> / </w:t>
      </w:r>
      <w:r>
        <w:rPr>
          <w:rFonts w:ascii="Consolas" w:cs="Consolas" w:eastAsia="Consolas" w:hAnsi="Consolas"/>
          <w:shd w:fill="F0F0F0" w:val="clear"/>
        </w:rPr>
        <w:t xml:space="preserve">Tally_Product__c</w:t>
      </w:r>
      <w:r>
        <w:t xml:space="preserve"> masters (incl. read</w:t>
      </w:r>
    </w:p>
    <w:p>
      <w:pPr>
        <w:spacing w:after="100"/>
      </w:pPr>
      <w:r>
        <w:t xml:space="preserve">on </w:t>
      </w:r>
      <w:r>
        <w:rPr>
          <w:rFonts w:ascii="Consolas" w:cs="Consolas" w:eastAsia="Consolas" w:hAnsi="Consolas"/>
          <w:shd w:fill="F0F0F0" w:val="clear"/>
        </w:rPr>
        <w:t xml:space="preserve">BillingAddress__c</w:t>
      </w:r>
      <w:r>
        <w:t xml:space="preserve">, needed for the GST state).</w:t>
      </w:r>
    </w:p>
    <w:p>
      <w:pPr>
        <w:spacing w:after="40"/>
        <w:ind w:left="360" w:hanging="260"/>
      </w:pPr>
      <w:r>
        <w:rPr>
          <w:b/>
          <w:bCs/>
        </w:rPr>
        <w:t xml:space="preserve">2. </w:t>
      </w:r>
      <w:r>
        <w:rPr>
          <w:b/>
          <w:bCs/>
        </w:rPr>
        <w:t xml:space="preserve">State &amp; Country picklist.</w:t>
      </w:r>
      <w:r>
        <w:t xml:space="preserve"> Enable every Indian state the distributors/customers operate in</w:t>
      </w:r>
    </w:p>
    <w:p>
      <w:pPr>
        <w:spacing w:after="100"/>
      </w:pPr>
      <w:r>
        <w:t xml:space="preserve">(Setup → </w:t>
      </w:r>
      <w:r>
        <w:rPr>
          <w:i/>
          <w:iCs/>
        </w:rPr>
        <w:t xml:space="preserve">State and Country/Territory Picklists</w:t>
      </w:r>
      <w:r>
        <w:t xml:space="preserve"> → Configure → India → state </w:t>
      </w:r>
      <w:r>
        <w:rPr>
          <w:b/>
          <w:bCs/>
        </w:rPr>
        <w:t xml:space="preserve">Active + Visible</w:t>
      </w:r>
    </w:p>
    <w:p>
      <w:pPr>
        <w:spacing w:after="100"/>
      </w:pPr>
      <w:r>
        <w:t xml:space="preserve">with its 2-letter </w:t>
      </w:r>
      <w:r>
        <w:rPr>
          <w:b/>
          <w:bCs/>
        </w:rPr>
        <w:t xml:space="preserve">Integration Value</w:t>
      </w:r>
      <w:r>
        <w:t xml:space="preserve">, e.g. Telangana = </w:t>
      </w:r>
      <w:r>
        <w:rPr>
          <w:rFonts w:ascii="Consolas" w:cs="Consolas" w:eastAsia="Consolas" w:hAnsi="Consolas"/>
          <w:shd w:fill="F0F0F0" w:val="clear"/>
        </w:rPr>
        <w:t xml:space="preserve">TG</w:t>
      </w:r>
      <w:r>
        <w:t xml:space="preserve">). A state that isn't enabled is</w:t>
      </w:r>
    </w:p>
    <w:p>
      <w:pPr>
        <w:spacing w:after="100"/>
      </w:pPr>
      <w:r>
        <w:t xml:space="preserve">silently dropped on save and then trips the "State required" rule. Already enabled in QA:</w:t>
      </w:r>
    </w:p>
    <w:p>
      <w:pPr>
        <w:spacing w:after="100"/>
      </w:pPr>
      <w:r>
        <w:rPr>
          <w:rFonts w:ascii="Consolas" w:cs="Consolas" w:eastAsia="Consolas" w:hAnsi="Consolas"/>
          <w:shd w:fill="F0F0F0" w:val="clear"/>
        </w:rPr>
        <w:t xml:space="preserve">GJ, KA, DL, TN, UP, RJ, WB, AP, MH</w:t>
      </w:r>
      <w:r>
        <w:t xml:space="preserve">.</w:t>
      </w:r>
    </w:p>
    <w:p>
      <w:pPr>
        <w:spacing w:after="40"/>
        <w:ind w:left="360" w:hanging="260"/>
      </w:pPr>
      <w:r>
        <w:rPr>
          <w:b/>
          <w:bCs/>
        </w:rPr>
        <w:t xml:space="preserve">3. </w:t>
      </w:r>
      <w:r>
        <w:rPr>
          <w:b/>
          <w:bCs/>
        </w:rPr>
        <w:t xml:space="preserve">Field / object API names</w:t>
      </w:r>
      <w:r>
        <w:t xml:space="preserve"> (for finding things above): distributor Account fields</w:t>
      </w:r>
    </w:p>
    <w:p>
      <w:pPr>
        <w:spacing w:after="100"/>
      </w:pPr>
      <w:r>
        <w:rPr>
          <w:rFonts w:ascii="Consolas" w:cs="Consolas" w:eastAsia="Consolas" w:hAnsi="Consolas"/>
          <w:shd w:fill="F0F0F0" w:val="clear"/>
        </w:rPr>
        <w:t xml:space="preserve">SAP_Company_Code__c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SAP_ID__c</w:t>
      </w:r>
      <w:r>
        <w:t xml:space="preserve">; sync rows on </w:t>
      </w:r>
      <w:r>
        <w:rPr>
          <w:rFonts w:ascii="Consolas" w:cs="Consolas" w:eastAsia="Consolas" w:hAnsi="Consolas"/>
          <w:shd w:fill="F0F0F0" w:val="clear"/>
        </w:rPr>
        <w:t xml:space="preserve">Sync_Config__c</w:t>
      </w:r>
      <w:r>
        <w:t xml:space="preserve"> (</w:t>
      </w:r>
      <w:r>
        <w:rPr>
          <w:rFonts w:ascii="Consolas" w:cs="Consolas" w:eastAsia="Consolas" w:hAnsi="Consolas"/>
          <w:shd w:fill="F0F0F0" w:val="clear"/>
        </w:rPr>
        <w:t xml:space="preserve">Object_Type__c</w:t>
      </w:r>
      <w:r>
        <w:t xml:space="preserve">,</w:t>
      </w:r>
    </w:p>
    <w:p>
      <w:pPr>
        <w:spacing w:after="100"/>
      </w:pPr>
      <w:r>
        <w:rPr>
          <w:rFonts w:ascii="Consolas" w:cs="Consolas" w:eastAsia="Consolas" w:hAnsi="Consolas"/>
          <w:shd w:fill="F0F0F0" w:val="clear"/>
        </w:rPr>
        <w:t xml:space="preserve">Direction__c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Enabled__c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Account__c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Schedule_Type__c</w:t>
      </w:r>
      <w: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Frequency_Minutes__c</w:t>
      </w:r>
      <w:r>
        <w:t xml:space="preserve">,</w:t>
      </w:r>
    </w:p>
    <w:p>
      <w:pPr>
        <w:spacing w:after="100"/>
      </w:pPr>
      <w:r>
        <w:rPr>
          <w:rFonts w:ascii="Consolas" w:cs="Consolas" w:eastAsia="Consolas" w:hAnsi="Consolas"/>
          <w:shd w:fill="F0F0F0" w:val="clear"/>
        </w:rPr>
        <w:t xml:space="preserve">Daily_Time__c</w:t>
      </w:r>
      <w:r>
        <w:t xml:space="preserve">); the mandatory-state rule </w:t>
      </w:r>
      <w:r>
        <w:rPr>
          <w:rFonts w:ascii="Consolas" w:cs="Consolas" w:eastAsia="Consolas" w:hAnsi="Consolas"/>
          <w:shd w:fill="F0F0F0" w:val="clear"/>
        </w:rPr>
        <w:t xml:space="preserve">Require_Billing_State</w:t>
      </w:r>
      <w:r>
        <w:t xml:space="preserve"> on </w:t>
      </w:r>
      <w:r>
        <w:rPr>
          <w:rFonts w:ascii="Consolas" w:cs="Consolas" w:eastAsia="Consolas" w:hAnsi="Consolas"/>
          <w:shd w:fill="F0F0F0" w:val="clear"/>
        </w:rPr>
        <w:t xml:space="preserve">Tally_Account__c</w:t>
      </w:r>
      <w:r>
        <w:t xml:space="preserve">.</w:t>
      </w:r>
    </w:p>
    <w:p>
      <w:pPr>
        <w:spacing w:after="40"/>
        <w:ind w:left="360" w:hanging="260"/>
      </w:pPr>
      <w:r>
        <w:rPr>
          <w:b/>
          <w:bCs/>
        </w:rPr>
        <w:t xml:space="preserve">4. </w:t>
      </w:r>
      <w:r>
        <w:rPr>
          <w:b/>
          <w:bCs/>
        </w:rPr>
        <w:t xml:space="preserve">Object Type values</w:t>
      </w:r>
      <w:r>
        <w:t xml:space="preserve"> the connector understands (on </w:t>
      </w:r>
      <w:r>
        <w:rPr>
          <w:rFonts w:ascii="Consolas" w:cs="Consolas" w:eastAsia="Consolas" w:hAnsi="Consolas"/>
          <w:shd w:fill="F0F0F0" w:val="clear"/>
        </w:rPr>
        <w:t xml:space="preserve">Sync_Config__c.Object_Type__c</w:t>
      </w:r>
      <w:r>
        <w:t xml:space="preserve">):</w:t>
      </w:r>
    </w:p>
    <w:p>
      <w:pPr>
        <w:spacing w:after="100"/>
      </w:pPr>
      <w:r>
        <w:rPr>
          <w:rFonts w:ascii="Consolas" w:cs="Consolas" w:eastAsia="Consolas" w:hAnsi="Consolas"/>
          <w:shd w:fill="F0F0F0" w:val="clear"/>
        </w:rPr>
        <w:t xml:space="preserve">Invoice, Purchase, Order, Note, PurchaseOrder, Account, Product</w:t>
      </w:r>
      <w:r>
        <w:t xml:space="preserve">. </w:t>
      </w:r>
      <w:r>
        <w:rPr>
          <w:rFonts w:ascii="Consolas" w:cs="Consolas" w:eastAsia="Consolas" w:hAnsi="Consolas"/>
          <w:shd w:fill="F0F0F0" w:val="clear"/>
        </w:rPr>
        <w:t xml:space="preserve">Product</w:t>
      </w:r>
      <w:r>
        <w:t xml:space="preserve"> is To-Tally only</w:t>
      </w:r>
    </w:p>
    <w:p>
      <w:pPr>
        <w:spacing w:after="100"/>
      </w:pPr>
      <w:r>
        <w:t xml:space="preserve">(no inbound); </w:t>
      </w:r>
      <w:r>
        <w:rPr>
          <w:rFonts w:ascii="Consolas" w:cs="Consolas" w:eastAsia="Consolas" w:hAnsi="Consolas"/>
          <w:shd w:fill="F0F0F0" w:val="clear"/>
        </w:rPr>
        <w:t xml:space="preserve">PurchaseOrder</w:t>
      </w:r>
      <w:r>
        <w:t xml:space="preserve"> is To-Tally only.</w:t>
      </w:r>
    </w:p>
    <w:p>
      <w:pPr>
        <w:spacing w:after="40"/>
        <w:ind w:left="360" w:hanging="260"/>
      </w:pPr>
      <w:r>
        <w:rPr>
          <w:b/>
          <w:bCs/>
        </w:rPr>
        <w:t xml:space="preserve">5. </w:t>
      </w:r>
      <w:r>
        <w:rPr>
          <w:b/>
          <w:bCs/>
        </w:rPr>
        <w:t xml:space="preserve">Backfill existing ledgers' state</w:t>
      </w:r>
      <w:r>
        <w:t xml:space="preserve"> (one-time, if the distributor already has ledgers): from</w:t>
      </w:r>
    </w:p>
    <w:p>
      <w:pPr>
        <w:spacing w:after="100"/>
      </w:pPr>
      <w:r>
        <w:t xml:space="preserve">the install folder, </w:t>
      </w:r>
      <w:r>
        <w:rPr>
          <w:rFonts w:ascii="Consolas" w:cs="Consolas" w:eastAsia="Consolas" w:hAnsi="Consolas"/>
          <w:shd w:fill="F0F0F0" w:val="clear"/>
        </w:rPr>
        <w:t xml:space="preserve">node dist\runSync.mjs --backfill-account-states</w:t>
      </w:r>
      <w:r>
        <w:t xml:space="preserve"> (preview) then </w:t>
      </w:r>
      <w:r>
        <w:rPr>
          <w:rFonts w:ascii="Consolas" w:cs="Consolas" w:eastAsia="Consolas" w:hAnsi="Consolas"/>
          <w:shd w:fill="F0F0F0" w:val="clear"/>
        </w:rPr>
        <w:t xml:space="preserve">--live</w:t>
      </w:r>
      <w:r>
        <w:t xml:space="preserve">.</w:t>
      </w:r>
    </w:p>
    <w:p>
      <w:pPr>
        <w:spacing w:after="40"/>
        <w:ind w:left="360" w:hanging="260"/>
      </w:pPr>
      <w:r>
        <w:rPr>
          <w:b/>
          <w:bCs/>
        </w:rPr>
        <w:t xml:space="preserve">6. </w:t>
      </w:r>
      <w:r>
        <w:rPr>
          <w:b/>
          <w:bCs/>
        </w:rPr>
        <w:t xml:space="preserve">This build targets the QA (test) Salesforce.</w:t>
      </w:r>
      <w:r>
        <w:t xml:space="preserve"> For go-live, rebuild the installer against the</w:t>
      </w:r>
    </w:p>
    <w:p>
      <w:pPr>
        <w:spacing w:after="100"/>
      </w:pPr>
      <w:r>
        <w:t xml:space="preserve">production org.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Distributor Onboarding Guide</dc:title>
  <dc:creator>Tally ⇄ Salesforce Connector</dc:creator>
  <cp:lastModifiedBy>Un-named</cp:lastModifiedBy>
  <cp:revision>1</cp:revision>
  <dcterms:created xsi:type="dcterms:W3CDTF">2026-10-14T06:13:50.280Z</dcterms:created>
  <dcterms:modified xsi:type="dcterms:W3CDTF">2026-10-14T06:13:50.282Z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