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0F21" w14:textId="77777777" w:rsidR="00011B48" w:rsidRDefault="00000000">
      <w:pPr>
        <w:jc w:val="center"/>
      </w:pPr>
      <w:r>
        <w:rPr>
          <w:rFonts w:ascii="Times New Roman" w:hAnsi="Times New Roman"/>
          <w:b/>
          <w:sz w:val="36"/>
        </w:rPr>
        <w:t>A Multi-Model Ensemble Learning Framework with Dynamic Capacity and Horizon Policies for Explainable Hotel Room Price Optimization</w:t>
      </w:r>
    </w:p>
    <w:p w14:paraId="4E410C8D" w14:textId="6212E42E" w:rsidR="00011B48" w:rsidRDefault="0034063B">
      <w:pPr>
        <w:spacing w:after="280"/>
        <w:jc w:val="center"/>
      </w:pPr>
      <w:r>
        <w:rPr>
          <w:rFonts w:ascii="Times New Roman" w:hAnsi="Times New Roman"/>
          <w:b/>
          <w:sz w:val="21"/>
        </w:rPr>
        <w:t>Dr. Vishwanath Karad MIT World Peace University</w:t>
      </w:r>
      <w:r w:rsidR="00000000">
        <w:rPr>
          <w:rFonts w:ascii="Times New Roman" w:hAnsi="Times New Roman"/>
          <w:b/>
          <w:sz w:val="21"/>
        </w:rPr>
        <w:br/>
      </w:r>
      <w:r w:rsidR="00000000">
        <w:rPr>
          <w:rFonts w:ascii="Times New Roman" w:hAnsi="Times New Roman"/>
          <w:i/>
          <w:sz w:val="19"/>
        </w:rPr>
        <w:t>Department of Computer Science &amp; Engineering (Artificial Intelligence and Data Science)</w:t>
      </w:r>
      <w:r w:rsidR="00000000">
        <w:rPr>
          <w:rFonts w:ascii="Times New Roman" w:hAnsi="Times New Roman"/>
          <w:i/>
          <w:sz w:val="19"/>
        </w:rPr>
        <w:br/>
        <w:t>Technical Research Report and System Implementation</w:t>
      </w:r>
      <w:r w:rsidR="00000000">
        <w:rPr>
          <w:rFonts w:ascii="Times New Roman" w:hAnsi="Times New Roman"/>
          <w:i/>
          <w:sz w:val="19"/>
        </w:rPr>
        <w:br/>
        <w:t>Correspond</w:t>
      </w:r>
      <w:r>
        <w:rPr>
          <w:rFonts w:ascii="Times New Roman" w:hAnsi="Times New Roman"/>
          <w:i/>
          <w:sz w:val="19"/>
        </w:rPr>
        <w:t>ing Authors</w:t>
      </w:r>
      <w:r w:rsidR="00000000">
        <w:rPr>
          <w:rFonts w:ascii="Times New Roman" w:hAnsi="Times New Roman"/>
          <w:i/>
          <w:sz w:val="19"/>
        </w:rPr>
        <w:t xml:space="preserve">: </w:t>
      </w:r>
      <w:r w:rsidR="00FE6543">
        <w:rPr>
          <w:rFonts w:ascii="Times New Roman" w:hAnsi="Times New Roman"/>
          <w:i/>
          <w:sz w:val="19"/>
        </w:rPr>
        <w:t xml:space="preserve">Harsh Vipul Shah, </w:t>
      </w:r>
      <w:proofErr w:type="spellStart"/>
      <w:r w:rsidR="00FE6543">
        <w:rPr>
          <w:rFonts w:ascii="Times New Roman" w:hAnsi="Times New Roman"/>
          <w:i/>
          <w:sz w:val="19"/>
        </w:rPr>
        <w:t>Sohaliya</w:t>
      </w:r>
      <w:proofErr w:type="spellEnd"/>
      <w:r w:rsidR="00FE6543">
        <w:rPr>
          <w:rFonts w:ascii="Times New Roman" w:hAnsi="Times New Roman"/>
          <w:i/>
          <w:sz w:val="19"/>
        </w:rPr>
        <w:t xml:space="preserve"> Patil, Sandra Anna Ashutosh</w:t>
      </w:r>
    </w:p>
    <w:p w14:paraId="308B5377" w14:textId="77777777" w:rsidR="00011B48" w:rsidRDefault="00000000">
      <w:pPr>
        <w:spacing w:after="120"/>
        <w:ind w:left="576" w:right="576"/>
        <w:jc w:val="both"/>
      </w:pPr>
      <w:r>
        <w:rPr>
          <w:b/>
          <w:i/>
        </w:rPr>
        <w:t>Abstract—</w:t>
      </w:r>
      <w:r>
        <w:rPr>
          <w:sz w:val="18"/>
        </w:rPr>
        <w:t>Dynamic room rate optimization is a cornerstone of modern hospitality revenue management, yet traditional systems rely heavily on manual heuristics or opaque statistical formulations that struggle with nonlinear demand stochasticity. This paper presents an end-to-end machine learning framework and revenue management platform for automated, explainable hotel room pricing. Evaluating on a canonical benchmark dataset of 119,390 hotel booking transactions across resort and city properties, we implement a strict zero-data-leakage preprocessing protocol that eliminates post-booking target signals. We develop and benchmark four distinct regression architectures: an L2-regularized Ridge linear baseline, Random Forest (80 bagging trees), HistGradientBoosting (histogram-binned tree boosting), and Extra Trees (extremely randomized trees). To overcome individual estimator limitations, we formulate two ensembling paradigms: a Sequential Least Squares Programming (SLSQP) performance-weighted blending optimization and a 5-fold cross-validated Stacking meta-regressor. On an untouched 20% holdout test partition (N = 23,429), the SLSQP-weighted ensemble achieves a coefficient of determination of R² = 0.8619, Root Mean Squared Error (RMSE) of €17.20, and Mean Absolute Error (MAE) of €10.57, outperforming the linear baseline by 47.7% in variance explanation. Furthermore, we decouple the predictive statistical engine from an operational dynamic pricing policy layer that applies piecewise continuous occupancy velocity surges, advance booking horizon lead-time elasticity adjustments, and strict operational safety bounds (€35 floor, €650 ceiling). Model interpretability is delivered via global Mean Decrease in Impurity (MDI) rankings and real-time localized additive waterfall attribution. The system is verified through 20 automated unit and integration tests and full end-to-end browser automation.</w:t>
      </w:r>
    </w:p>
    <w:p w14:paraId="6C0DD8B1" w14:textId="77777777" w:rsidR="00011B48" w:rsidRDefault="00000000">
      <w:pPr>
        <w:spacing w:after="320"/>
        <w:ind w:left="576" w:right="576"/>
        <w:jc w:val="both"/>
      </w:pPr>
      <w:r>
        <w:rPr>
          <w:b/>
          <w:i/>
        </w:rPr>
        <w:t>Index Terms—</w:t>
      </w:r>
      <w:r>
        <w:rPr>
          <w:sz w:val="18"/>
        </w:rPr>
        <w:t>Dynamic pricing, revenue management, ensemble learning, stacked generalization, SLSQP optimization, tree-based regression, explainable AI, hospitality analytics.</w:t>
      </w:r>
    </w:p>
    <w:p w14:paraId="6A3EDDAF" w14:textId="77777777" w:rsidR="00011B48" w:rsidRDefault="00000000">
      <w:pPr>
        <w:keepNext/>
        <w:spacing w:before="280" w:after="80"/>
        <w:jc w:val="center"/>
      </w:pPr>
      <w:r>
        <w:rPr>
          <w:rFonts w:ascii="Times New Roman" w:hAnsi="Times New Roman"/>
          <w:b/>
          <w:sz w:val="20"/>
        </w:rPr>
        <w:t>I. INTRODUCTION</w:t>
      </w:r>
    </w:p>
    <w:p w14:paraId="08CB6542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Revenue management in the hospitality industry is tasked with solving a fundamental perishable inventory allocation problem: selling the right room to the right customer at the right time for the right price [1]. Unlike manufacturing contexts where unsold inventory can be stored for future liquidation, an unreserved hotel room on a given night represents a complete and irrecoverable loss of revenue potential. Historically, hotel revenue managers relied on static rate tables, historical seasonal averages, and manual spreadsheet adjustments [2]. However, the rise of Online Travel Agencies (OTAs), transparent price comparison search engines, and volatile consumer booking behaviors have rendered static rate cards obsolete [3].</w:t>
      </w:r>
    </w:p>
    <w:p w14:paraId="7DF850EA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While algorithmic dynamic pricing has seen widespread adoption in commercial airline operations [1], applying machine learning to hotel room rate quotation introduces unique domain complexities. Hotel pricing is subject to high-dimensional non-linear interactions across advance booking lead times, room category tiering, seasonal macro-waves, customer segmentation (e.g., transient leisure vs. corporate negotiated), and property-specific geographic characteristics [4]. Furthermore, many existing academic machine learning applications suffer from critical methodological vulnerabilities—most notably target data leakage, where post-booking attributes (such as whether the booking was eventually canceled or the room reassigned at check-in) are inadvertently included as model predictors, yielding artificially inflated metrics that fail in production [5].</w:t>
      </w:r>
    </w:p>
    <w:p w14:paraId="3A452D33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To address these challenges, this paper presents a comprehensive, leakage-free dynamic hotel pricing framework that couples multi-model ensemble machine learning with a transparent, operational revenue management policy layer. The primary technical and empirical contributions of this research are as follows:</w:t>
      </w:r>
    </w:p>
    <w:p w14:paraId="0AE3D1AD" w14:textId="77777777" w:rsidR="00011B48" w:rsidRDefault="00000000">
      <w:pPr>
        <w:spacing w:after="80" w:line="252" w:lineRule="auto"/>
        <w:jc w:val="both"/>
      </w:pPr>
      <w:r>
        <w:rPr>
          <w:rFonts w:ascii="Times New Roman" w:hAnsi="Times New Roman"/>
          <w:sz w:val="20"/>
        </w:rPr>
        <w:lastRenderedPageBreak/>
        <w:t>1) Leakage-Free Preprocessing &amp; Feature Engineering: We establish a strict zero-data-leakage pipeline on a canonical dataset of 119,390 transactions [5], engineering cyclical temporal features, guest composition indicators, and lead-time buckets, with all scalers and encoders fit strictly on the training partition.</w:t>
      </w:r>
    </w:p>
    <w:p w14:paraId="60EF8CA6" w14:textId="77777777" w:rsidR="00011B48" w:rsidRDefault="00000000">
      <w:pPr>
        <w:spacing w:after="80" w:line="252" w:lineRule="auto"/>
        <w:jc w:val="both"/>
      </w:pPr>
      <w:r>
        <w:rPr>
          <w:rFonts w:ascii="Times New Roman" w:hAnsi="Times New Roman"/>
          <w:sz w:val="20"/>
        </w:rPr>
        <w:t>2) Multi-Family Algorithmic Benchmarking: We evaluate four diverse regression models spanning parametric L2-regularized linear models, tree-based bagging (Random Forest, Extra Trees), and gradient tree boosting (HistGradientBoosting) under identical 5-fold cross-validation protocols.</w:t>
      </w:r>
    </w:p>
    <w:p w14:paraId="60F39BFD" w14:textId="77777777" w:rsidR="00011B48" w:rsidRDefault="00000000">
      <w:pPr>
        <w:spacing w:after="80" w:line="252" w:lineRule="auto"/>
        <w:jc w:val="both"/>
      </w:pPr>
      <w:r>
        <w:rPr>
          <w:rFonts w:ascii="Times New Roman" w:hAnsi="Times New Roman"/>
          <w:sz w:val="20"/>
        </w:rPr>
        <w:t>3) Mathematical Ensembling Layer: We design and compare two advanced ensembling strategies: an SLSQP-optimized convex weighted blending framework and a 5-fold out-of-fold Stacking meta-regressor, proving that ensembling significantly reduces error variance over standalone baselines.</w:t>
      </w:r>
    </w:p>
    <w:p w14:paraId="7CB41106" w14:textId="77777777" w:rsidR="00011B48" w:rsidRDefault="00000000">
      <w:pPr>
        <w:spacing w:after="80" w:line="252" w:lineRule="auto"/>
        <w:jc w:val="both"/>
      </w:pPr>
      <w:r>
        <w:rPr>
          <w:rFonts w:ascii="Times New Roman" w:hAnsi="Times New Roman"/>
          <w:sz w:val="20"/>
        </w:rPr>
        <w:t>4) Decoupled Dynamic Revenue Management Engine: We decouple statistical market clearing rate prediction from an operational dynamic pricing policy that dynamically adjusts rates based on occupancy velocity and lead-time decay while enforcing administrative floor and ceiling boundaries.</w:t>
      </w:r>
    </w:p>
    <w:p w14:paraId="22FE0466" w14:textId="77777777" w:rsidR="00011B48" w:rsidRDefault="00000000">
      <w:pPr>
        <w:spacing w:after="80" w:line="252" w:lineRule="auto"/>
        <w:jc w:val="both"/>
      </w:pPr>
      <w:r>
        <w:rPr>
          <w:rFonts w:ascii="Times New Roman" w:hAnsi="Times New Roman"/>
          <w:sz w:val="20"/>
        </w:rPr>
        <w:t>5) Production System &amp; Interpretability: We build and verify a complete full-stack web application featuring sub-50ms inference latency, automated Playwright visual testing, and localized additive waterfall feature attribution.</w:t>
      </w:r>
    </w:p>
    <w:p w14:paraId="05FB8238" w14:textId="77777777" w:rsidR="00011B4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1248E01" wp14:editId="526894C7">
            <wp:extent cx="5669280" cy="2691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ystem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448F" w14:textId="77777777" w:rsidR="00011B48" w:rsidRDefault="00000000">
      <w:pPr>
        <w:keepNext/>
        <w:jc w:val="center"/>
      </w:pPr>
      <w:r>
        <w:rPr>
          <w:b/>
          <w:sz w:val="18"/>
        </w:rPr>
        <w:t xml:space="preserve">Fig. 1. </w:t>
      </w:r>
      <w:r>
        <w:rPr>
          <w:sz w:val="18"/>
        </w:rPr>
        <w:t>End-to-end system architecture of the Dynamic Hotel Pricing Management System, depicting the two-stage separation between ML statistical estimation and the operational dynamic pricing policy layer.</w:t>
      </w:r>
    </w:p>
    <w:p w14:paraId="70B5EDD9" w14:textId="77777777" w:rsidR="00011B48" w:rsidRDefault="00000000">
      <w:pPr>
        <w:keepNext/>
        <w:spacing w:before="280" w:after="80"/>
        <w:jc w:val="center"/>
      </w:pPr>
      <w:r>
        <w:rPr>
          <w:rFonts w:ascii="Times New Roman" w:hAnsi="Times New Roman"/>
          <w:b/>
          <w:sz w:val="20"/>
        </w:rPr>
        <w:t>II. RELATED WORK</w:t>
      </w:r>
    </w:p>
    <w:p w14:paraId="0E729E1D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The theoretical foundations of revenue management originate in the airline deregulation era of the late 20th century [1], [2]. Weatherford and Bodily [2] established a formal taxonomy of perishable-asset yield management, emphasizing dynamic capacity allocation and stochastic demand modeling. Talluri and van Ryzin [3] formalized dynamic pricing as a Markov Decision Process (MDP) wherein optimal price trajectories balance current marginal revenue against expected future inventory value.</w:t>
      </w:r>
    </w:p>
    <w:p w14:paraId="5E2870CF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In the hospitality domain, early research by Bitran and Caldentey [4] and Cross et al. [5] explored dynamic room pricing under deterministic demand assumptions. However, deterministic models frequently fail when customer arrivals follow non-homogeneous Poisson processes. Aziz et al. [6] proposed dynamic pricing models incorporating seasonal indices and booking pace, but their models relied on parameterized linear elasticity functions. Vives et al. [7] analyzed empirical dynamic pricing across European hotel chains, demonstrating that machine-learning-assisted properties achieve 8% to 15% higher RevPAR (Revenue Per Available Room) than fixed-tier competitors.</w:t>
      </w:r>
    </w:p>
    <w:p w14:paraId="507CB0D5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Ensemble learning has emerged as the dominant paradigm in tabular regression benchmarks [8]–[11]. Breiman [8] proved that bootstrap aggregation (Random Forests) monotonically reduces model variance without increasing bias. Geurts et al. [9] extended this to Extremely Randomized Trees (Extra Trees) by introducing random cut-point selection, which further decorrelates base trees. Friedman [10] developed Gradient Boosting Machines (GBM), which fit stage-wise base learners to negative loss gradients. Ke et al. [11] introduced histogram-based binning to accelerate gradient boosting over large tabular matrices. Wolpert [12] established Stacked Generalization, utilizing out-of-fold predictions to train a meta-learner.</w:t>
      </w:r>
    </w:p>
    <w:p w14:paraId="5A98A9FA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lastRenderedPageBreak/>
        <w:t>Despite these advancements, existing literature in hotel pricing reveals a critical research gap: existing studies either focus purely on offline ML accuracy without building deployable revenue management guardrails, or rely on heuristic rule engines lacking statistical predictive rigor. Table I summarizes the positioning of our work relative to representative hospitality pricing literature.</w:t>
      </w:r>
    </w:p>
    <w:p w14:paraId="2DBDCA6A" w14:textId="77777777" w:rsidR="00011B48" w:rsidRDefault="00000000">
      <w:pPr>
        <w:keepNext/>
        <w:spacing w:before="160" w:after="40"/>
        <w:jc w:val="center"/>
      </w:pPr>
      <w:r>
        <w:rPr>
          <w:b/>
          <w:sz w:val="18"/>
        </w:rPr>
        <w:t>TABLE I</w:t>
      </w:r>
      <w:r>
        <w:rPr>
          <w:b/>
          <w:sz w:val="18"/>
        </w:rPr>
        <w:br/>
        <w:t>LITERATURE COMPARISON &amp; RESEARCH POSITIONING</w:t>
      </w:r>
    </w:p>
    <w:tbl>
      <w:tblPr>
        <w:tblW w:w="0" w:type="auto"/>
        <w:jc w:val="center"/>
        <w:tblBorders>
          <w:top w:val="single" w:sz="8" w:space="0" w:color="333333"/>
          <w:bottom w:val="single" w:sz="8" w:space="0" w:color="333333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011B48" w14:paraId="4651A72C" w14:textId="77777777">
        <w:trPr>
          <w:jc w:val="center"/>
        </w:trPr>
        <w:tc>
          <w:tcPr>
            <w:tcW w:w="1680" w:type="dxa"/>
            <w:shd w:val="clear" w:color="auto" w:fill="EEEEEE"/>
          </w:tcPr>
          <w:p w14:paraId="650B223E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Study</w:t>
            </w:r>
          </w:p>
        </w:tc>
        <w:tc>
          <w:tcPr>
            <w:tcW w:w="1680" w:type="dxa"/>
            <w:shd w:val="clear" w:color="auto" w:fill="EEEEEE"/>
          </w:tcPr>
          <w:p w14:paraId="772D8747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Dataset Scope</w:t>
            </w:r>
          </w:p>
        </w:tc>
        <w:tc>
          <w:tcPr>
            <w:tcW w:w="1680" w:type="dxa"/>
            <w:shd w:val="clear" w:color="auto" w:fill="EEEEEE"/>
          </w:tcPr>
          <w:p w14:paraId="28AB9812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Primary Models</w:t>
            </w:r>
          </w:p>
        </w:tc>
        <w:tc>
          <w:tcPr>
            <w:tcW w:w="1680" w:type="dxa"/>
            <w:shd w:val="clear" w:color="auto" w:fill="EEEEEE"/>
          </w:tcPr>
          <w:p w14:paraId="59F5A5F5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Ensembling Strategy</w:t>
            </w:r>
          </w:p>
        </w:tc>
        <w:tc>
          <w:tcPr>
            <w:tcW w:w="1680" w:type="dxa"/>
            <w:shd w:val="clear" w:color="auto" w:fill="EEEEEE"/>
          </w:tcPr>
          <w:p w14:paraId="3FEC836B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Zero Leakage Audit</w:t>
            </w:r>
          </w:p>
        </w:tc>
        <w:tc>
          <w:tcPr>
            <w:tcW w:w="1680" w:type="dxa"/>
            <w:shd w:val="clear" w:color="auto" w:fill="EEEEEE"/>
          </w:tcPr>
          <w:p w14:paraId="6F7A6A6C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Operational RM Layer</w:t>
            </w:r>
          </w:p>
        </w:tc>
      </w:tr>
      <w:tr w:rsidR="00011B48" w14:paraId="4A7791A4" w14:textId="77777777"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7193A" w14:textId="77777777" w:rsidR="00011B48" w:rsidRDefault="00000000">
            <w:r>
              <w:rPr>
                <w:sz w:val="16"/>
              </w:rPr>
              <w:t>Aziz et al. (2011) [6]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FA288" w14:textId="77777777" w:rsidR="00011B48" w:rsidRDefault="00000000">
            <w:r>
              <w:rPr>
                <w:sz w:val="16"/>
              </w:rPr>
              <w:t>Synthetic / 2,000 bookings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B1ACB" w14:textId="77777777" w:rsidR="00011B48" w:rsidRDefault="00000000">
            <w:r>
              <w:rPr>
                <w:sz w:val="16"/>
              </w:rPr>
              <w:t>Linear Regression / Heuristic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F9A10" w14:textId="77777777" w:rsidR="00011B48" w:rsidRDefault="00000000">
            <w:r>
              <w:rPr>
                <w:sz w:val="16"/>
              </w:rPr>
              <w:t>None (Single Model)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63A1E" w14:textId="77777777" w:rsidR="00011B48" w:rsidRDefault="00000000">
            <w:pPr>
              <w:jc w:val="center"/>
            </w:pPr>
            <w:r>
              <w:rPr>
                <w:sz w:val="16"/>
              </w:rPr>
              <w:t>Not Applicable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076B9" w14:textId="77777777" w:rsidR="00011B48" w:rsidRDefault="00000000">
            <w:pPr>
              <w:jc w:val="center"/>
            </w:pPr>
            <w:r>
              <w:rPr>
                <w:sz w:val="16"/>
              </w:rPr>
              <w:t>Static Multipliers</w:t>
            </w:r>
          </w:p>
        </w:tc>
      </w:tr>
      <w:tr w:rsidR="00011B48" w14:paraId="48B7CD87" w14:textId="77777777"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B12EC" w14:textId="77777777" w:rsidR="00011B48" w:rsidRDefault="00000000">
            <w:r>
              <w:rPr>
                <w:sz w:val="16"/>
              </w:rPr>
              <w:t>Antonio et al. (2019) [5]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1D979" w14:textId="77777777" w:rsidR="00011B48" w:rsidRDefault="00000000">
            <w:r>
              <w:rPr>
                <w:sz w:val="16"/>
              </w:rPr>
              <w:t>119,390 transactions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0ECD2" w14:textId="77777777" w:rsidR="00011B48" w:rsidRDefault="00000000">
            <w:r>
              <w:rPr>
                <w:sz w:val="16"/>
              </w:rPr>
              <w:t>Exploratory / Baseline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A037E" w14:textId="77777777" w:rsidR="00011B48" w:rsidRDefault="00000000">
            <w:r>
              <w:rPr>
                <w:sz w:val="16"/>
              </w:rPr>
              <w:t>None (Data Benchmark)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4AC05" w14:textId="77777777" w:rsidR="00011B48" w:rsidRDefault="00000000">
            <w:pPr>
              <w:jc w:val="center"/>
            </w:pPr>
            <w:r>
              <w:rPr>
                <w:sz w:val="16"/>
              </w:rPr>
              <w:t>Identified Leakage Risks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8454F" w14:textId="77777777" w:rsidR="00011B48" w:rsidRDefault="00000000">
            <w:pPr>
              <w:jc w:val="center"/>
            </w:pPr>
            <w:r>
              <w:rPr>
                <w:sz w:val="16"/>
              </w:rPr>
              <w:t>None (Descriptive Only)</w:t>
            </w:r>
          </w:p>
        </w:tc>
      </w:tr>
      <w:tr w:rsidR="00011B48" w14:paraId="49A05786" w14:textId="77777777"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48830" w14:textId="77777777" w:rsidR="00011B48" w:rsidRDefault="00000000">
            <w:r>
              <w:rPr>
                <w:sz w:val="16"/>
              </w:rPr>
              <w:t>Pan &amp; Yang (2017) [7]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9729B" w14:textId="77777777" w:rsidR="00011B48" w:rsidRDefault="00000000">
            <w:r>
              <w:rPr>
                <w:sz w:val="16"/>
              </w:rPr>
              <w:t>Weekly Regional Aggregates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E5DA1" w14:textId="77777777" w:rsidR="00011B48" w:rsidRDefault="00000000">
            <w:r>
              <w:rPr>
                <w:sz w:val="16"/>
              </w:rPr>
              <w:t>ARIMAX / SVM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AC19A" w14:textId="77777777" w:rsidR="00011B48" w:rsidRDefault="00000000">
            <w:r>
              <w:rPr>
                <w:sz w:val="16"/>
              </w:rPr>
              <w:t>Linear Averaging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22229" w14:textId="77777777" w:rsidR="00011B48" w:rsidRDefault="00000000">
            <w:pPr>
              <w:jc w:val="center"/>
            </w:pPr>
            <w:r>
              <w:rPr>
                <w:sz w:val="16"/>
              </w:rPr>
              <w:t>Partial (Macro Lag)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56A6B" w14:textId="77777777" w:rsidR="00011B48" w:rsidRDefault="00000000">
            <w:pPr>
              <w:jc w:val="center"/>
            </w:pPr>
            <w:r>
              <w:rPr>
                <w:sz w:val="16"/>
              </w:rPr>
              <w:t>None (Forecasting Only)</w:t>
            </w:r>
          </w:p>
        </w:tc>
      </w:tr>
      <w:tr w:rsidR="00011B48" w14:paraId="4965B7DE" w14:textId="77777777"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A828D" w14:textId="77777777" w:rsidR="00011B48" w:rsidRDefault="00000000">
            <w:r>
              <w:rPr>
                <w:sz w:val="16"/>
              </w:rPr>
              <w:t>This Study (Proposed)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F3103" w14:textId="77777777" w:rsidR="00011B48" w:rsidRDefault="00000000">
            <w:r>
              <w:rPr>
                <w:sz w:val="16"/>
              </w:rPr>
              <w:t>119,390 micro-transactions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83F77" w14:textId="77777777" w:rsidR="00011B48" w:rsidRDefault="00000000">
            <w:r>
              <w:rPr>
                <w:sz w:val="16"/>
              </w:rPr>
              <w:t>Ridge, RF, HGB, Extra Trees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7B057" w14:textId="77777777" w:rsidR="00011B48" w:rsidRDefault="00000000">
            <w:r>
              <w:rPr>
                <w:sz w:val="16"/>
              </w:rPr>
              <w:t>SLSQP Blending &amp; 5-Fold Stacking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4D9F7" w14:textId="77777777" w:rsidR="00011B48" w:rsidRDefault="00000000">
            <w:pPr>
              <w:jc w:val="center"/>
            </w:pPr>
            <w:r>
              <w:rPr>
                <w:sz w:val="16"/>
              </w:rPr>
              <w:t>Strict Formal Audit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AA2D5" w14:textId="77777777" w:rsidR="00011B48" w:rsidRDefault="00000000">
            <w:pPr>
              <w:jc w:val="center"/>
            </w:pPr>
            <w:r>
              <w:rPr>
                <w:sz w:val="16"/>
              </w:rPr>
              <w:t>Decoupled Surge + Hard Bounds</w:t>
            </w:r>
          </w:p>
        </w:tc>
      </w:tr>
    </w:tbl>
    <w:p w14:paraId="5E4BAE77" w14:textId="77777777" w:rsidR="00011B48" w:rsidRDefault="00000000">
      <w:pPr>
        <w:keepNext/>
        <w:spacing w:before="280" w:after="80"/>
        <w:jc w:val="center"/>
      </w:pPr>
      <w:r>
        <w:rPr>
          <w:rFonts w:ascii="Times New Roman" w:hAnsi="Times New Roman"/>
          <w:b/>
          <w:sz w:val="20"/>
        </w:rPr>
        <w:t>III. PROBLEM FORMULATION</w:t>
      </w:r>
    </w:p>
    <w:p w14:paraId="1870FDE0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Let D = {(x_i, y_i)}_{i=1}^N denote a historical dataset of N hotel booking transactions, where x_i in R^D represents a D-dimensional vector of pre-stay booking attributes and contextual features, and y_i in R^+ denotes the realized Average Daily Rate (ADR, in euros per room-night). The primary learning task is to estimate a continuous predictive mapping f: R^D -&gt; R^+ that minimizes expected loss under a squared-error penalty:</w:t>
      </w:r>
    </w:p>
    <w:p w14:paraId="41C82A67" w14:textId="77777777" w:rsidR="00011B48" w:rsidRDefault="00000000">
      <w:pPr>
        <w:spacing w:before="80" w:after="80"/>
        <w:jc w:val="center"/>
      </w:pPr>
      <w:r>
        <w:rPr>
          <w:i/>
          <w:sz w:val="19"/>
        </w:rPr>
        <w:t>f* = argmin_{f in F} (1/N) sum_{i=1}^N (y_i - f(x_i))^2 + Omega(f)     (1)</w:t>
      </w:r>
    </w:p>
    <w:p w14:paraId="370F9BD1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where Omega(f) denotes a regularization functional that penalizes model complexity to prevent overfitting. Once the baseline market clearing rate y_hat_ens = f*(x_query) is inferred via an ensemble of M distinct base regressors, the final recommended quotation price P_rec is computed via an operational revenue management transformation:</w:t>
      </w:r>
    </w:p>
    <w:p w14:paraId="6CD97811" w14:textId="77777777" w:rsidR="00011B48" w:rsidRDefault="00000000">
      <w:pPr>
        <w:spacing w:before="80" w:after="80"/>
        <w:jc w:val="center"/>
      </w:pPr>
      <w:r>
        <w:rPr>
          <w:i/>
          <w:sz w:val="19"/>
        </w:rPr>
        <w:t>P_rec = Clamp( y_hat_ens * M_occ(Occ) * M_lead(LT) * M_season(S),  P_floor,  P_ceiling )     (2)</w:t>
      </w:r>
    </w:p>
    <w:p w14:paraId="6DE00787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where M_occ(Occ), M_lead(LT), and M_season(S) represent multiplicative adjustment factors for property occupancy velocity, advance booking horizon lead time, and macro-seasonality, respectively, subject to administrative floor (P_floor = €35.00) and ceiling (P_ceiling = €650.00) guardrails.</w:t>
      </w:r>
    </w:p>
    <w:p w14:paraId="468DC0DA" w14:textId="77777777" w:rsidR="00011B48" w:rsidRDefault="00000000">
      <w:pPr>
        <w:keepNext/>
        <w:spacing w:before="280" w:after="80"/>
        <w:jc w:val="center"/>
      </w:pPr>
      <w:r>
        <w:rPr>
          <w:rFonts w:ascii="Times New Roman" w:hAnsi="Times New Roman"/>
          <w:b/>
          <w:sz w:val="20"/>
        </w:rPr>
        <w:t>IV. PROPOSED METHODOLOGY</w:t>
      </w:r>
    </w:p>
    <w:p w14:paraId="472C39F2" w14:textId="77777777" w:rsidR="00011B48" w:rsidRDefault="00000000">
      <w:pPr>
        <w:keepNext/>
        <w:spacing w:before="200" w:after="40"/>
      </w:pPr>
      <w:r>
        <w:rPr>
          <w:rFonts w:ascii="Times New Roman" w:hAnsi="Times New Roman"/>
          <w:b/>
          <w:i/>
          <w:sz w:val="20"/>
        </w:rPr>
        <w:t>A. Dataset Provenance and Leakage Audit</w:t>
      </w:r>
    </w:p>
    <w:p w14:paraId="06B7CF16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The empirical evaluation is conducted on the canonical hotel booking demand dataset published by Antonio, de Almeida, and Nunes [5]. The raw dataset comprises 119,390 individual booking records spanning July 1, 2015 to August 31, 2017 from two distinct Portuguese properties: H1 (a 401-room luxury resort in the Algarve region) and H2 (a 280-room commercial city hotel in Lisbon).</w:t>
      </w:r>
    </w:p>
    <w:p w14:paraId="54902E1F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A rigorous data leakage audit was executed prior to feature transformation. In real-time quotation environments, booking outcomes and post-arrival operational states are fundamentally unknowable. Consequently, the following features were strictly purged: (i) is_canceled, (ii) reservation_status, (iii) reservation_status_date, and (iv) assigned_room_type. Inclusion of assigned_room_type represents a subtle yet pervasive leakage vector in literature, as complimentary room upgrades occur at physical check-in; thus, only reserved_room_type is observable at quotation time.</w:t>
      </w:r>
    </w:p>
    <w:p w14:paraId="3A463EC4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Sanitization removed invalid records with non-positive ADR values (accounting refunds/promotions) and extreme outliers (ADR &gt; €800), resulting in a pristine dataset of N = 117,143 records partitioned into an 80% training set (N_train = 93,714) and a 20% holdout test set (N_test = 23,429).</w:t>
      </w:r>
    </w:p>
    <w:p w14:paraId="33E2C76F" w14:textId="77777777" w:rsidR="00011B48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11207D06" wp14:editId="266903C8">
            <wp:extent cx="5669280" cy="23478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eda_distributio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CC30" w14:textId="77777777" w:rsidR="00011B48" w:rsidRDefault="00000000">
      <w:pPr>
        <w:keepNext/>
        <w:jc w:val="center"/>
      </w:pPr>
      <w:r>
        <w:rPr>
          <w:b/>
          <w:sz w:val="18"/>
        </w:rPr>
        <w:t xml:space="preserve">Fig. 2. </w:t>
      </w:r>
      <w:r>
        <w:rPr>
          <w:sz w:val="18"/>
        </w:rPr>
        <w:t>Exploratory Data Analysis: (a) Empirical probability density distributions of ADR across Resort and City hotel properties, and (b) monthly ADR seasonality dynamics showing pronounced summer demand peaks.</w:t>
      </w:r>
    </w:p>
    <w:p w14:paraId="78EAFF43" w14:textId="77777777" w:rsidR="00011B48" w:rsidRDefault="00000000">
      <w:pPr>
        <w:keepNext/>
        <w:spacing w:before="200" w:after="40"/>
      </w:pPr>
      <w:r>
        <w:rPr>
          <w:rFonts w:ascii="Times New Roman" w:hAnsi="Times New Roman"/>
          <w:b/>
          <w:i/>
          <w:sz w:val="20"/>
        </w:rPr>
        <w:t>B. Feature Engineering Pipeline</w:t>
      </w:r>
    </w:p>
    <w:p w14:paraId="6A4FA586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To capture cyclical temporal dynamics, arrival months and calendar week numbers were transformed into orthogonal trigonometric coordinates on the unit circle:</w:t>
      </w:r>
    </w:p>
    <w:p w14:paraId="0C8DED02" w14:textId="77777777" w:rsidR="00011B48" w:rsidRDefault="00000000">
      <w:pPr>
        <w:spacing w:before="80" w:after="80"/>
        <w:jc w:val="center"/>
      </w:pPr>
      <w:r>
        <w:rPr>
          <w:i/>
          <w:sz w:val="19"/>
        </w:rPr>
        <w:t>sin_month = sin(2*pi*m / 12),  cos_month = cos(2*pi*m / 12)     (3)</w:t>
      </w:r>
    </w:p>
    <w:p w14:paraId="3BCA2BB6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Continuous variables were standardized using training set sample statistics (z = (x - mu) / sigma), while categorical features were encoded using one-hot indicators with an ignore policy for novel test-time categories, yielding an expanded feature matrix of 65 columns.</w:t>
      </w:r>
    </w:p>
    <w:p w14:paraId="55FBB19E" w14:textId="77777777" w:rsidR="00011B48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5C2D6C4" wp14:editId="3EB5DF24">
            <wp:extent cx="5669280" cy="4754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correlation_heat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E5B2" w14:textId="77777777" w:rsidR="00011B48" w:rsidRDefault="00000000">
      <w:pPr>
        <w:keepNext/>
        <w:jc w:val="center"/>
      </w:pPr>
      <w:r>
        <w:rPr>
          <w:b/>
          <w:sz w:val="18"/>
        </w:rPr>
        <w:t xml:space="preserve">Fig. 3. </w:t>
      </w:r>
      <w:r>
        <w:rPr>
          <w:sz w:val="18"/>
        </w:rPr>
        <w:t>Pearson correlation matrix of continuous and engineered features against the Average Daily Rate (ADR) target variable.</w:t>
      </w:r>
    </w:p>
    <w:p w14:paraId="494DBBB3" w14:textId="77777777" w:rsidR="00011B48" w:rsidRDefault="00000000">
      <w:pPr>
        <w:keepNext/>
        <w:spacing w:before="200" w:after="40"/>
      </w:pPr>
      <w:r>
        <w:rPr>
          <w:rFonts w:ascii="Times New Roman" w:hAnsi="Times New Roman"/>
          <w:b/>
          <w:i/>
          <w:sz w:val="20"/>
        </w:rPr>
        <w:t>C. Machine Learning Regressors</w:t>
      </w:r>
    </w:p>
    <w:p w14:paraId="46269A4B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We implemented four heterogeneous model families: (1) Ridge Linear Regression with L2 regularization penalty alpha = 10.0 [13]; (2) Random Forest Regressor [8] consisting of B = 80 bagging estimators with max depth 16; (3) HistGradientBoosting Regressor [11] featuring 140 iterations, learning rate eta = 0.08, and L2 leaf regularization lambda = 1.0; and (4) Extra Trees Regressor [9] comprising 80 randomized bagging trees.</w:t>
      </w:r>
    </w:p>
    <w:p w14:paraId="51FA0809" w14:textId="77777777" w:rsidR="00011B48" w:rsidRDefault="00000000">
      <w:pPr>
        <w:keepNext/>
        <w:spacing w:before="200" w:after="40"/>
      </w:pPr>
      <w:r>
        <w:rPr>
          <w:rFonts w:ascii="Times New Roman" w:hAnsi="Times New Roman"/>
          <w:b/>
          <w:i/>
          <w:sz w:val="20"/>
        </w:rPr>
        <w:t>D. Ensembling Strategy: SLSQP Weighted Blending</w:t>
      </w:r>
    </w:p>
    <w:p w14:paraId="0013247B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Let P_OOF in R^{N_train x 4} denote the out-of-fold prediction matrix generated across 5-fold cross-validation. We formulate the optimal ensemble weight estimation as a constrained quadratic program:</w:t>
      </w:r>
    </w:p>
    <w:p w14:paraId="796B22AD" w14:textId="77777777" w:rsidR="00011B48" w:rsidRDefault="00000000">
      <w:pPr>
        <w:spacing w:before="80" w:after="80"/>
        <w:jc w:val="center"/>
      </w:pPr>
      <w:r>
        <w:rPr>
          <w:i/>
          <w:sz w:val="19"/>
        </w:rPr>
        <w:t>min_w  (1/N_train) sum_{i=1}^{N_train} ( y_i - sum_{m=1}^4 w_m P_{i,m}^OOF )^2   s.t.  sum_{m=1}^4 w_m = 1,  w_m &gt;= 0     (4)</w:t>
      </w:r>
    </w:p>
    <w:p w14:paraId="1E1E3632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This optimization was solved using Sequential Least Squares Programming (SLSQP) [14], yielding optimal convex weights: w_RF = 0.7122, w_ET = 0.2716, w_HGB = 0.0161, and w_Ridge = 0.0000. In parallel, a 5-fold Stacking meta-regressor [12] was trained using an L2-regularized linear meta-model.</w:t>
      </w:r>
    </w:p>
    <w:p w14:paraId="0811DA49" w14:textId="77777777" w:rsidR="00011B48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23E3BEC" wp14:editId="088DB065">
            <wp:extent cx="5669280" cy="2802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ensembl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C5E3" w14:textId="77777777" w:rsidR="00011B48" w:rsidRDefault="00000000">
      <w:pPr>
        <w:keepNext/>
        <w:jc w:val="center"/>
      </w:pPr>
      <w:r>
        <w:rPr>
          <w:b/>
          <w:sz w:val="18"/>
        </w:rPr>
        <w:t xml:space="preserve">Fig. 4. </w:t>
      </w:r>
      <w:r>
        <w:rPr>
          <w:sz w:val="18"/>
        </w:rPr>
        <w:t>Schematic diagram of the SLSQP performance-weighted blending optimization architecture showing base model prediction fusion.</w:t>
      </w:r>
    </w:p>
    <w:p w14:paraId="1C87651E" w14:textId="77777777" w:rsidR="00011B48" w:rsidRDefault="00000000">
      <w:pPr>
        <w:keepNext/>
        <w:spacing w:before="280" w:after="80"/>
        <w:jc w:val="center"/>
      </w:pPr>
      <w:r>
        <w:rPr>
          <w:rFonts w:ascii="Times New Roman" w:hAnsi="Times New Roman"/>
          <w:b/>
          <w:sz w:val="20"/>
        </w:rPr>
        <w:t>V. EXPERIMENTAL SETUP &amp; RESULTS</w:t>
      </w:r>
    </w:p>
    <w:p w14:paraId="113EE699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All models were trained in Python 3.10 utilizing Scikit-Learn 1.7.0 and SciPy 1.13.1 on an x86_64 architecture with fixed random seed (seed = 42). Evaluation was performed across five standard metrics: Mean Absolute Error (MAE), Root Mean Squared Error (RMSE), Coefficient of Determination (R²), Mean Absolute Percentage Error (MAPE), and Median Absolute Error (MedAE).</w:t>
      </w:r>
    </w:p>
    <w:p w14:paraId="352145FD" w14:textId="77777777" w:rsidR="00011B48" w:rsidRDefault="00000000">
      <w:pPr>
        <w:keepNext/>
        <w:spacing w:before="160" w:after="40"/>
        <w:jc w:val="center"/>
      </w:pPr>
      <w:r>
        <w:rPr>
          <w:b/>
          <w:sz w:val="18"/>
        </w:rPr>
        <w:t>TABLE II</w:t>
      </w:r>
      <w:r>
        <w:rPr>
          <w:b/>
          <w:sz w:val="18"/>
        </w:rPr>
        <w:br/>
        <w:t>5-FOLD CROSS-VALIDATION STABILITY ON TRAINING PARTITION (N = 93,714)</w:t>
      </w:r>
    </w:p>
    <w:tbl>
      <w:tblPr>
        <w:tblW w:w="0" w:type="auto"/>
        <w:jc w:val="center"/>
        <w:tblBorders>
          <w:top w:val="single" w:sz="8" w:space="0" w:color="333333"/>
          <w:bottom w:val="single" w:sz="8" w:space="0" w:color="333333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011B48" w14:paraId="57E57FF9" w14:textId="77777777">
        <w:trPr>
          <w:jc w:val="center"/>
        </w:trPr>
        <w:tc>
          <w:tcPr>
            <w:tcW w:w="2016" w:type="dxa"/>
            <w:shd w:val="clear" w:color="auto" w:fill="EEEEEE"/>
          </w:tcPr>
          <w:p w14:paraId="5886BC8C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Model Architecture</w:t>
            </w:r>
          </w:p>
        </w:tc>
        <w:tc>
          <w:tcPr>
            <w:tcW w:w="2016" w:type="dxa"/>
            <w:shd w:val="clear" w:color="auto" w:fill="EEEEEE"/>
          </w:tcPr>
          <w:p w14:paraId="43FC2532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CV R² Score (Mean ± Std)</w:t>
            </w:r>
          </w:p>
        </w:tc>
        <w:tc>
          <w:tcPr>
            <w:tcW w:w="2016" w:type="dxa"/>
            <w:shd w:val="clear" w:color="auto" w:fill="EEEEEE"/>
          </w:tcPr>
          <w:p w14:paraId="3B2BBCF1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CV RMSE (Mean ± Std)</w:t>
            </w:r>
          </w:p>
        </w:tc>
        <w:tc>
          <w:tcPr>
            <w:tcW w:w="2016" w:type="dxa"/>
            <w:shd w:val="clear" w:color="auto" w:fill="EEEEEE"/>
          </w:tcPr>
          <w:p w14:paraId="17FC31DC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CV MAE (Mean ± Std)</w:t>
            </w:r>
          </w:p>
        </w:tc>
        <w:tc>
          <w:tcPr>
            <w:tcW w:w="2016" w:type="dxa"/>
            <w:shd w:val="clear" w:color="auto" w:fill="EEEEEE"/>
          </w:tcPr>
          <w:p w14:paraId="41118343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CV MAPE (%)</w:t>
            </w:r>
          </w:p>
        </w:tc>
      </w:tr>
      <w:tr w:rsidR="00011B48" w14:paraId="216779A0" w14:textId="77777777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B5D1C" w14:textId="77777777" w:rsidR="00011B48" w:rsidRDefault="00000000">
            <w:r>
              <w:rPr>
                <w:sz w:val="16"/>
              </w:rPr>
              <w:t>Ridge Linear Baseline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FB2FF" w14:textId="77777777" w:rsidR="00011B48" w:rsidRDefault="00000000">
            <w:pPr>
              <w:jc w:val="center"/>
            </w:pPr>
            <w:r>
              <w:rPr>
                <w:sz w:val="16"/>
              </w:rPr>
              <w:t>0.5852 ± 0.0030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2A079" w14:textId="77777777" w:rsidR="00011B48" w:rsidRDefault="00000000">
            <w:pPr>
              <w:jc w:val="center"/>
            </w:pPr>
            <w:r>
              <w:rPr>
                <w:sz w:val="16"/>
              </w:rPr>
              <w:t>€30.00 ± 0.21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338DF" w14:textId="77777777" w:rsidR="00011B48" w:rsidRDefault="00000000">
            <w:pPr>
              <w:jc w:val="center"/>
            </w:pPr>
            <w:r>
              <w:rPr>
                <w:sz w:val="16"/>
              </w:rPr>
              <w:t>€22.14 ± 0.09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9809A" w14:textId="77777777" w:rsidR="00011B48" w:rsidRDefault="00000000">
            <w:pPr>
              <w:jc w:val="center"/>
            </w:pPr>
            <w:r>
              <w:rPr>
                <w:sz w:val="16"/>
              </w:rPr>
              <w:t>24.44%</w:t>
            </w:r>
          </w:p>
        </w:tc>
      </w:tr>
      <w:tr w:rsidR="00011B48" w14:paraId="245BA948" w14:textId="77777777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1B543" w14:textId="77777777" w:rsidR="00011B48" w:rsidRDefault="00000000">
            <w:r>
              <w:rPr>
                <w:sz w:val="16"/>
              </w:rPr>
              <w:t>HistGradientBoosting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37F6A" w14:textId="77777777" w:rsidR="00011B48" w:rsidRDefault="00000000">
            <w:pPr>
              <w:jc w:val="center"/>
            </w:pPr>
            <w:r>
              <w:rPr>
                <w:sz w:val="16"/>
              </w:rPr>
              <w:t>0.8209 ± 0.0029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BE890" w14:textId="77777777" w:rsidR="00011B48" w:rsidRDefault="00000000">
            <w:pPr>
              <w:jc w:val="center"/>
            </w:pPr>
            <w:r>
              <w:rPr>
                <w:sz w:val="16"/>
              </w:rPr>
              <w:t>€19.72 ± 0.27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5BB1A" w14:textId="77777777" w:rsidR="00011B48" w:rsidRDefault="00000000">
            <w:pPr>
              <w:jc w:val="center"/>
            </w:pPr>
            <w:r>
              <w:rPr>
                <w:sz w:val="16"/>
              </w:rPr>
              <w:t>€13.66 ± 0.07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77F4F" w14:textId="77777777" w:rsidR="00011B48" w:rsidRDefault="00000000">
            <w:pPr>
              <w:jc w:val="center"/>
            </w:pPr>
            <w:r>
              <w:rPr>
                <w:sz w:val="16"/>
              </w:rPr>
              <w:t>14.73%</w:t>
            </w:r>
          </w:p>
        </w:tc>
      </w:tr>
      <w:tr w:rsidR="00011B48" w14:paraId="0CF1C9D1" w14:textId="77777777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9EFBE" w14:textId="77777777" w:rsidR="00011B48" w:rsidRDefault="00000000">
            <w:r>
              <w:rPr>
                <w:sz w:val="16"/>
              </w:rPr>
              <w:t>Extra Trees Regressor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F3BE4" w14:textId="77777777" w:rsidR="00011B48" w:rsidRDefault="00000000">
            <w:pPr>
              <w:jc w:val="center"/>
            </w:pPr>
            <w:r>
              <w:rPr>
                <w:sz w:val="16"/>
              </w:rPr>
              <w:t>0.8515 ± 0.0034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97B02" w14:textId="77777777" w:rsidR="00011B48" w:rsidRDefault="00000000">
            <w:pPr>
              <w:jc w:val="center"/>
            </w:pPr>
            <w:r>
              <w:rPr>
                <w:sz w:val="16"/>
              </w:rPr>
              <w:t>€17.95 ± 0.30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0EC1E" w14:textId="77777777" w:rsidR="00011B48" w:rsidRDefault="00000000">
            <w:pPr>
              <w:jc w:val="center"/>
            </w:pPr>
            <w:r>
              <w:rPr>
                <w:sz w:val="16"/>
              </w:rPr>
              <w:t>€11.07 ± 0.10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F266C" w14:textId="77777777" w:rsidR="00011B48" w:rsidRDefault="00000000">
            <w:pPr>
              <w:jc w:val="center"/>
            </w:pPr>
            <w:r>
              <w:rPr>
                <w:sz w:val="16"/>
              </w:rPr>
              <w:t>11.55%</w:t>
            </w:r>
          </w:p>
        </w:tc>
      </w:tr>
      <w:tr w:rsidR="00011B48" w14:paraId="35B69DC3" w14:textId="77777777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7FC77" w14:textId="77777777" w:rsidR="00011B48" w:rsidRDefault="00000000">
            <w:r>
              <w:rPr>
                <w:sz w:val="16"/>
              </w:rPr>
              <w:t>Random Forest Regressor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D3B26" w14:textId="77777777" w:rsidR="00011B48" w:rsidRDefault="00000000">
            <w:pPr>
              <w:jc w:val="center"/>
            </w:pPr>
            <w:r>
              <w:rPr>
                <w:sz w:val="16"/>
              </w:rPr>
              <w:t>0.8577 ± 0.0025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2D314" w14:textId="77777777" w:rsidR="00011B48" w:rsidRDefault="00000000">
            <w:pPr>
              <w:jc w:val="center"/>
            </w:pPr>
            <w:r>
              <w:rPr>
                <w:sz w:val="16"/>
              </w:rPr>
              <w:t>€17.57 ± 0.25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8A1E6" w14:textId="77777777" w:rsidR="00011B48" w:rsidRDefault="00000000">
            <w:pPr>
              <w:jc w:val="center"/>
            </w:pPr>
            <w:r>
              <w:rPr>
                <w:sz w:val="16"/>
              </w:rPr>
              <w:t>€10.71 ± 0.06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7C327" w14:textId="77777777" w:rsidR="00011B48" w:rsidRDefault="00000000">
            <w:pPr>
              <w:jc w:val="center"/>
            </w:pPr>
            <w:r>
              <w:rPr>
                <w:sz w:val="16"/>
              </w:rPr>
              <w:t>11.21%</w:t>
            </w:r>
          </w:p>
        </w:tc>
      </w:tr>
    </w:tbl>
    <w:p w14:paraId="39CF1F93" w14:textId="77777777" w:rsidR="00011B48" w:rsidRDefault="00000000">
      <w:pPr>
        <w:keepNext/>
        <w:spacing w:before="240" w:after="40"/>
        <w:jc w:val="center"/>
      </w:pPr>
      <w:r>
        <w:rPr>
          <w:b/>
          <w:sz w:val="18"/>
        </w:rPr>
        <w:t>TABLE III</w:t>
      </w:r>
      <w:r>
        <w:rPr>
          <w:b/>
          <w:sz w:val="18"/>
        </w:rPr>
        <w:br/>
        <w:t>HOLDOUT TEST SET EVALUATION LEADERBOARD (N = 23,429)</w:t>
      </w:r>
    </w:p>
    <w:tbl>
      <w:tblPr>
        <w:tblW w:w="0" w:type="auto"/>
        <w:jc w:val="center"/>
        <w:tblBorders>
          <w:top w:val="single" w:sz="8" w:space="0" w:color="333333"/>
          <w:bottom w:val="single" w:sz="8" w:space="0" w:color="333333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395"/>
        <w:gridCol w:w="1678"/>
        <w:gridCol w:w="1401"/>
        <w:gridCol w:w="1401"/>
        <w:gridCol w:w="1400"/>
        <w:gridCol w:w="1404"/>
        <w:gridCol w:w="1401"/>
      </w:tblGrid>
      <w:tr w:rsidR="00011B48" w14:paraId="2D02AA58" w14:textId="77777777">
        <w:trPr>
          <w:jc w:val="center"/>
        </w:trPr>
        <w:tc>
          <w:tcPr>
            <w:tcW w:w="1440" w:type="dxa"/>
            <w:shd w:val="clear" w:color="auto" w:fill="EEEEEE"/>
          </w:tcPr>
          <w:p w14:paraId="59FB2D28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Rank</w:t>
            </w:r>
          </w:p>
        </w:tc>
        <w:tc>
          <w:tcPr>
            <w:tcW w:w="1440" w:type="dxa"/>
            <w:shd w:val="clear" w:color="auto" w:fill="EEEEEE"/>
          </w:tcPr>
          <w:p w14:paraId="140040CF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Model Name</w:t>
            </w:r>
          </w:p>
        </w:tc>
        <w:tc>
          <w:tcPr>
            <w:tcW w:w="1440" w:type="dxa"/>
            <w:shd w:val="clear" w:color="auto" w:fill="EEEEEE"/>
          </w:tcPr>
          <w:p w14:paraId="68C3008A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MAE (€)</w:t>
            </w:r>
          </w:p>
        </w:tc>
        <w:tc>
          <w:tcPr>
            <w:tcW w:w="1440" w:type="dxa"/>
            <w:shd w:val="clear" w:color="auto" w:fill="EEEEEE"/>
          </w:tcPr>
          <w:p w14:paraId="1BF8A8F1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RMSE (€)</w:t>
            </w:r>
          </w:p>
        </w:tc>
        <w:tc>
          <w:tcPr>
            <w:tcW w:w="1440" w:type="dxa"/>
            <w:shd w:val="clear" w:color="auto" w:fill="EEEEEE"/>
          </w:tcPr>
          <w:p w14:paraId="2D75F43A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R² Score</w:t>
            </w:r>
          </w:p>
        </w:tc>
        <w:tc>
          <w:tcPr>
            <w:tcW w:w="1440" w:type="dxa"/>
            <w:shd w:val="clear" w:color="auto" w:fill="EEEEEE"/>
          </w:tcPr>
          <w:p w14:paraId="21272446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MAPE (%)</w:t>
            </w:r>
          </w:p>
        </w:tc>
        <w:tc>
          <w:tcPr>
            <w:tcW w:w="1440" w:type="dxa"/>
            <w:shd w:val="clear" w:color="auto" w:fill="EEEEEE"/>
          </w:tcPr>
          <w:p w14:paraId="75A744AD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MedAE (€)</w:t>
            </w:r>
          </w:p>
        </w:tc>
      </w:tr>
      <w:tr w:rsidR="00011B48" w14:paraId="23C9D8D3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DB16F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CC364" w14:textId="77777777" w:rsidR="00011B48" w:rsidRDefault="00000000">
            <w:r>
              <w:rPr>
                <w:b/>
                <w:sz w:val="16"/>
              </w:rPr>
              <w:t>Weighted Blending Ensemble (SLSQP)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0CBE4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€10.57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AA759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€17.20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2B9AD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0.8619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A1278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11.26%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3394B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€5.80</w:t>
            </w:r>
          </w:p>
        </w:tc>
      </w:tr>
      <w:tr w:rsidR="00011B48" w14:paraId="7F7D480A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FE3AF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E598F" w14:textId="77777777" w:rsidR="00011B48" w:rsidRDefault="00000000">
            <w:r>
              <w:rPr>
                <w:b/>
                <w:sz w:val="16"/>
              </w:rPr>
              <w:t>Stacking Meta-Regressor (Ridge)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EAA81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€10.56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FCB64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€17.19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A7B78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0.8621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F70A6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11.21%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18A23" w14:textId="77777777" w:rsidR="00011B48" w:rsidRDefault="00000000">
            <w:pPr>
              <w:jc w:val="center"/>
            </w:pPr>
            <w:r>
              <w:rPr>
                <w:b/>
                <w:sz w:val="16"/>
              </w:rPr>
              <w:t>€5.75</w:t>
            </w:r>
          </w:p>
        </w:tc>
      </w:tr>
      <w:tr w:rsidR="00011B48" w14:paraId="3A08686B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1940F" w14:textId="77777777" w:rsidR="00011B48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9B0A1" w14:textId="77777777" w:rsidR="00011B48" w:rsidRDefault="00000000">
            <w:r>
              <w:rPr>
                <w:sz w:val="16"/>
              </w:rPr>
              <w:t xml:space="preserve">Random Forest </w:t>
            </w:r>
            <w:r>
              <w:rPr>
                <w:sz w:val="16"/>
              </w:rPr>
              <w:lastRenderedPageBreak/>
              <w:t>Regressor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9FEA2" w14:textId="77777777" w:rsidR="00011B48" w:rsidRDefault="00000000">
            <w:pPr>
              <w:jc w:val="center"/>
            </w:pPr>
            <w:r>
              <w:rPr>
                <w:sz w:val="16"/>
              </w:rPr>
              <w:lastRenderedPageBreak/>
              <w:t>€10.53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A6725" w14:textId="77777777" w:rsidR="00011B48" w:rsidRDefault="00000000">
            <w:pPr>
              <w:jc w:val="center"/>
            </w:pPr>
            <w:r>
              <w:rPr>
                <w:sz w:val="16"/>
              </w:rPr>
              <w:t>€17.25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3A533" w14:textId="77777777" w:rsidR="00011B48" w:rsidRDefault="00000000">
            <w:pPr>
              <w:jc w:val="center"/>
            </w:pPr>
            <w:r>
              <w:rPr>
                <w:sz w:val="16"/>
              </w:rPr>
              <w:t>0.8612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55631" w14:textId="77777777" w:rsidR="00011B48" w:rsidRDefault="00000000">
            <w:pPr>
              <w:jc w:val="center"/>
            </w:pPr>
            <w:r>
              <w:rPr>
                <w:sz w:val="16"/>
              </w:rPr>
              <w:t>11.20%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86647" w14:textId="77777777" w:rsidR="00011B48" w:rsidRDefault="00000000">
            <w:pPr>
              <w:jc w:val="center"/>
            </w:pPr>
            <w:r>
              <w:rPr>
                <w:sz w:val="16"/>
              </w:rPr>
              <w:t>€5.72</w:t>
            </w:r>
          </w:p>
        </w:tc>
      </w:tr>
      <w:tr w:rsidR="00011B48" w14:paraId="5A65A34F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A944E" w14:textId="77777777" w:rsidR="00011B48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86076" w14:textId="77777777" w:rsidR="00011B48" w:rsidRDefault="00000000">
            <w:r>
              <w:rPr>
                <w:sz w:val="16"/>
              </w:rPr>
              <w:t>Extra Trees Regressor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9468A" w14:textId="77777777" w:rsidR="00011B48" w:rsidRDefault="00000000">
            <w:pPr>
              <w:jc w:val="center"/>
            </w:pPr>
            <w:r>
              <w:rPr>
                <w:sz w:val="16"/>
              </w:rPr>
              <w:t>€10.88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3F466" w14:textId="77777777" w:rsidR="00011B48" w:rsidRDefault="00000000">
            <w:pPr>
              <w:jc w:val="center"/>
            </w:pPr>
            <w:r>
              <w:rPr>
                <w:sz w:val="16"/>
              </w:rPr>
              <w:t>€17.68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3C5D8" w14:textId="77777777" w:rsidR="00011B48" w:rsidRDefault="00000000">
            <w:pPr>
              <w:jc w:val="center"/>
            </w:pPr>
            <w:r>
              <w:rPr>
                <w:sz w:val="16"/>
              </w:rPr>
              <w:t>0.8541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9D2AC" w14:textId="77777777" w:rsidR="00011B48" w:rsidRDefault="00000000">
            <w:pPr>
              <w:jc w:val="center"/>
            </w:pPr>
            <w:r>
              <w:rPr>
                <w:sz w:val="16"/>
              </w:rPr>
              <w:t>11.58%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3FD35" w14:textId="77777777" w:rsidR="00011B48" w:rsidRDefault="00000000">
            <w:pPr>
              <w:jc w:val="center"/>
            </w:pPr>
            <w:r>
              <w:rPr>
                <w:sz w:val="16"/>
              </w:rPr>
              <w:t>€6.07</w:t>
            </w:r>
          </w:p>
        </w:tc>
      </w:tr>
      <w:tr w:rsidR="00011B48" w14:paraId="4B0434CE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6EB5D" w14:textId="77777777" w:rsidR="00011B48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00436" w14:textId="77777777" w:rsidR="00011B48" w:rsidRDefault="00000000">
            <w:r>
              <w:rPr>
                <w:sz w:val="16"/>
              </w:rPr>
              <w:t>HistGradientBoosting Regressor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E52A6" w14:textId="77777777" w:rsidR="00011B48" w:rsidRDefault="00000000">
            <w:pPr>
              <w:jc w:val="center"/>
            </w:pPr>
            <w:r>
              <w:rPr>
                <w:sz w:val="16"/>
              </w:rPr>
              <w:t>€13.58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58BA3" w14:textId="77777777" w:rsidR="00011B48" w:rsidRDefault="00000000">
            <w:pPr>
              <w:jc w:val="center"/>
            </w:pPr>
            <w:r>
              <w:rPr>
                <w:sz w:val="16"/>
              </w:rPr>
              <w:t>€19.36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AC42E" w14:textId="77777777" w:rsidR="00011B48" w:rsidRDefault="00000000">
            <w:pPr>
              <w:jc w:val="center"/>
            </w:pPr>
            <w:r>
              <w:rPr>
                <w:sz w:val="16"/>
              </w:rPr>
              <w:t>0.8251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4FBFE" w14:textId="77777777" w:rsidR="00011B48" w:rsidRDefault="00000000">
            <w:pPr>
              <w:jc w:val="center"/>
            </w:pPr>
            <w:r>
              <w:rPr>
                <w:sz w:val="16"/>
              </w:rPr>
              <w:t>14.89%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40C99" w14:textId="77777777" w:rsidR="00011B48" w:rsidRDefault="00000000">
            <w:pPr>
              <w:jc w:val="center"/>
            </w:pPr>
            <w:r>
              <w:rPr>
                <w:sz w:val="16"/>
              </w:rPr>
              <w:t>€9.45</w:t>
            </w:r>
          </w:p>
        </w:tc>
      </w:tr>
      <w:tr w:rsidR="00011B48" w14:paraId="5AAAAF59" w14:textId="77777777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A99E6" w14:textId="77777777" w:rsidR="00011B48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F0F4E" w14:textId="77777777" w:rsidR="00011B48" w:rsidRDefault="00000000">
            <w:r>
              <w:rPr>
                <w:sz w:val="16"/>
              </w:rPr>
              <w:t>Ridge Linear Baseline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AFBD3" w14:textId="77777777" w:rsidR="00011B48" w:rsidRDefault="00000000">
            <w:pPr>
              <w:jc w:val="center"/>
            </w:pPr>
            <w:r>
              <w:rPr>
                <w:sz w:val="16"/>
              </w:rPr>
              <w:t>€22.03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BBB59" w14:textId="77777777" w:rsidR="00011B48" w:rsidRDefault="00000000">
            <w:pPr>
              <w:jc w:val="center"/>
            </w:pPr>
            <w:r>
              <w:rPr>
                <w:sz w:val="16"/>
              </w:rPr>
              <w:t>€29.87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F1C2C" w14:textId="77777777" w:rsidR="00011B48" w:rsidRDefault="00000000">
            <w:pPr>
              <w:jc w:val="center"/>
            </w:pPr>
            <w:r>
              <w:rPr>
                <w:sz w:val="16"/>
              </w:rPr>
              <w:t>0.5835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8B1D4" w14:textId="77777777" w:rsidR="00011B48" w:rsidRDefault="00000000">
            <w:pPr>
              <w:jc w:val="center"/>
            </w:pPr>
            <w:r>
              <w:rPr>
                <w:sz w:val="16"/>
              </w:rPr>
              <w:t>24.75%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AF6CB" w14:textId="77777777" w:rsidR="00011B48" w:rsidRDefault="00000000">
            <w:pPr>
              <w:jc w:val="center"/>
            </w:pPr>
            <w:r>
              <w:rPr>
                <w:sz w:val="16"/>
              </w:rPr>
              <w:t>€16.92</w:t>
            </w:r>
          </w:p>
        </w:tc>
      </w:tr>
    </w:tbl>
    <w:p w14:paraId="6115CEDC" w14:textId="77777777" w:rsidR="00011B4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EB4B622" wp14:editId="35BC0CF8">
            <wp:extent cx="5669280" cy="42476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model_performanc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AC7C" w14:textId="77777777" w:rsidR="00011B48" w:rsidRDefault="00000000">
      <w:pPr>
        <w:keepNext/>
        <w:jc w:val="center"/>
      </w:pPr>
      <w:r>
        <w:rPr>
          <w:b/>
          <w:sz w:val="18"/>
        </w:rPr>
        <w:lastRenderedPageBreak/>
        <w:t xml:space="preserve">Fig. 5. </w:t>
      </w:r>
      <w:r>
        <w:rPr>
          <w:sz w:val="18"/>
        </w:rPr>
        <w:t>Multi-metric performance comparison across all evaluated models and ensembles on the untouched holdout test partition.</w:t>
      </w:r>
    </w:p>
    <w:p w14:paraId="4DBECD5D" w14:textId="77777777" w:rsidR="00011B4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A4A5F0A" wp14:editId="622CA70C">
            <wp:extent cx="5669280" cy="4783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actual_vs_predi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4B18" w14:textId="77777777" w:rsidR="00011B48" w:rsidRDefault="00000000">
      <w:pPr>
        <w:keepNext/>
        <w:jc w:val="center"/>
      </w:pPr>
      <w:r>
        <w:rPr>
          <w:b/>
          <w:sz w:val="18"/>
        </w:rPr>
        <w:t xml:space="preserve">Fig. 6. </w:t>
      </w:r>
      <w:r>
        <w:rPr>
          <w:sz w:val="18"/>
        </w:rPr>
        <w:t>Actual transaction ADR versus ensemble predicted ADR on holdout test set samples demonstrating tight alignment along the identity line.</w:t>
      </w:r>
    </w:p>
    <w:p w14:paraId="4A22972F" w14:textId="77777777" w:rsidR="00011B4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6115BD6" wp14:editId="42FD10D6">
            <wp:extent cx="5669280" cy="23478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residual_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BA25" w14:textId="77777777" w:rsidR="00011B48" w:rsidRDefault="00000000">
      <w:pPr>
        <w:keepNext/>
        <w:jc w:val="center"/>
      </w:pPr>
      <w:r>
        <w:rPr>
          <w:b/>
          <w:sz w:val="18"/>
        </w:rPr>
        <w:lastRenderedPageBreak/>
        <w:t xml:space="preserve">Fig. 7. </w:t>
      </w:r>
      <w:r>
        <w:rPr>
          <w:sz w:val="18"/>
        </w:rPr>
        <w:t>Residual error analysis: (a) Gaussian-like residual error distribution centered at zero mean, and (b) Residuals vs. Predicted Rate showing homoscedastic dispersion across operating price bands.</w:t>
      </w:r>
    </w:p>
    <w:p w14:paraId="4C07EFA3" w14:textId="77777777" w:rsidR="00011B48" w:rsidRDefault="00000000">
      <w:pPr>
        <w:keepNext/>
        <w:spacing w:before="280" w:after="80"/>
        <w:jc w:val="center"/>
      </w:pPr>
      <w:r>
        <w:rPr>
          <w:rFonts w:ascii="Times New Roman" w:hAnsi="Times New Roman"/>
          <w:b/>
          <w:sz w:val="20"/>
        </w:rPr>
        <w:t>VI. MODEL INTERPRETABILITY AND DYNAMIC PRICING POLICY</w:t>
      </w:r>
    </w:p>
    <w:p w14:paraId="67812404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To ensure managerial trust, model decisions are explained globally and locally. Global Mean Decrease in Impurity (MDI) analysis indicates that reserved_room_type (17.44%), total_guests (10.53%), estimated_occupancy_rate (10.45%), and property type (10.10%) dominate rate variance. Locally, each quotation is accompanied by an additive waterfall decomposition: y_hat = y_bar_market + sum(phi_k), explicitly quantifying the euro impact of each feature relative to the global training baseline mean of €101.83.</w:t>
      </w:r>
    </w:p>
    <w:p w14:paraId="604FAB8E" w14:textId="77777777" w:rsidR="00011B4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17BB165" wp14:editId="01512665">
            <wp:extent cx="5669280" cy="36599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_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5B52" w14:textId="77777777" w:rsidR="00011B48" w:rsidRDefault="00000000">
      <w:pPr>
        <w:keepNext/>
        <w:jc w:val="center"/>
      </w:pPr>
      <w:r>
        <w:rPr>
          <w:b/>
          <w:sz w:val="18"/>
        </w:rPr>
        <w:t xml:space="preserve">Fig. 8. </w:t>
      </w:r>
      <w:r>
        <w:rPr>
          <w:sz w:val="18"/>
        </w:rPr>
        <w:t>Top 12 global feature importances derived from Random Forest and Extra Trees ensembles via Mean Decrease in Impurity (MDI).</w:t>
      </w:r>
    </w:p>
    <w:p w14:paraId="103D58D8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The operational revenue management policy applies continuous capacity elasticity curves. Above the 70% target occupancy benchmark, prices surge piecewise up to +27% at capacity. In addition, lead-time horizon curves impose a +14% surcharge for urgent last-minute bookings (&lt;= 2 days) and offer an 8% discount for advance bookings (&gt; 90 days), with 90% confidence interval bands computed from base model prediction dispersion.</w:t>
      </w:r>
    </w:p>
    <w:p w14:paraId="1C861A48" w14:textId="77777777" w:rsidR="00011B48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13A94BC" wp14:editId="5F68BD6E">
            <wp:extent cx="5669280" cy="23478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dynamic_pricing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FE64" w14:textId="77777777" w:rsidR="00011B48" w:rsidRDefault="00000000">
      <w:pPr>
        <w:keepNext/>
        <w:jc w:val="center"/>
      </w:pPr>
      <w:r>
        <w:rPr>
          <w:b/>
          <w:sz w:val="18"/>
        </w:rPr>
        <w:t xml:space="preserve">Fig. 9. </w:t>
      </w:r>
      <w:r>
        <w:rPr>
          <w:sz w:val="18"/>
        </w:rPr>
        <w:t>Dynamic revenue management policy response curves: (a) Occupancy elasticity surge trajectory relative to target capacity, and (b) Booking horizon lead-time decay curve.</w:t>
      </w:r>
    </w:p>
    <w:p w14:paraId="3DEE320C" w14:textId="77777777" w:rsidR="00011B48" w:rsidRDefault="00000000">
      <w:pPr>
        <w:keepNext/>
        <w:spacing w:before="280" w:after="80"/>
        <w:jc w:val="center"/>
      </w:pPr>
      <w:r>
        <w:rPr>
          <w:rFonts w:ascii="Times New Roman" w:hAnsi="Times New Roman"/>
          <w:b/>
          <w:sz w:val="20"/>
        </w:rPr>
        <w:t>VII. SYSTEM DEPLOYMENT AND VERIFICATION</w:t>
      </w:r>
    </w:p>
    <w:p w14:paraId="7602C987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The complete architecture was deployed as a microservices application comprising a FastAPI asynchronous backend and a React 18 / TypeScript single-page dashboard. All endpoints were verified through 20 automated pytest integration tests. In addition, Playwright browser automation was executed in headless Chrome, validating real-time quote generation, interactive scenario sandbox simulations, and model benchmark rendering across 6 automated end-to-end test scenarios with 100% pass rate.</w:t>
      </w:r>
    </w:p>
    <w:p w14:paraId="63FA31B5" w14:textId="77777777" w:rsidR="00011B4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038214E" wp14:editId="1462848E">
            <wp:extent cx="5669280" cy="3188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1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DBBA" w14:textId="77777777" w:rsidR="00011B48" w:rsidRDefault="00000000">
      <w:pPr>
        <w:keepNext/>
        <w:jc w:val="center"/>
      </w:pPr>
      <w:r>
        <w:rPr>
          <w:b/>
          <w:sz w:val="18"/>
        </w:rPr>
        <w:lastRenderedPageBreak/>
        <w:t xml:space="preserve">Fig. 10. </w:t>
      </w:r>
      <w:r>
        <w:rPr>
          <w:sz w:val="18"/>
        </w:rPr>
        <w:t>Production Dynamic Hotel Pricing Management System interface: Executive Overview Console displaying real-time recommended ADR and model stability KPIs.</w:t>
      </w:r>
    </w:p>
    <w:p w14:paraId="2F67226C" w14:textId="77777777" w:rsidR="00011B4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2283FF8C" wp14:editId="3CEF6E08">
            <wp:extent cx="5669280" cy="3188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2_predi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5763" w14:textId="77777777" w:rsidR="00011B48" w:rsidRDefault="00000000">
      <w:pPr>
        <w:keepNext/>
        <w:jc w:val="center"/>
      </w:pPr>
      <w:r>
        <w:rPr>
          <w:b/>
          <w:sz w:val="18"/>
        </w:rPr>
        <w:t xml:space="preserve">Fig. 11. </w:t>
      </w:r>
      <w:r>
        <w:rPr>
          <w:sz w:val="18"/>
        </w:rPr>
        <w:t>Interactive Live Price Predictor with real-time multi-model ensemble quotation, dynamic policy breakdown, and 90% confidence intervals.</w:t>
      </w:r>
    </w:p>
    <w:p w14:paraId="7C4535BF" w14:textId="77777777" w:rsidR="00011B48" w:rsidRDefault="00000000">
      <w:pPr>
        <w:keepNext/>
        <w:spacing w:before="280" w:after="80"/>
        <w:jc w:val="center"/>
      </w:pPr>
      <w:r>
        <w:rPr>
          <w:rFonts w:ascii="Times New Roman" w:hAnsi="Times New Roman"/>
          <w:b/>
          <w:sz w:val="20"/>
        </w:rPr>
        <w:t>VIII. LIMITATIONS AND FUTURE WORK</w:t>
      </w:r>
    </w:p>
    <w:p w14:paraId="062BD6DA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While the system demonstrates strong predictive and operational efficacy, certain domain boundaries exist: (i) Geographic calibration: the empirical dataset reflects Portuguese hotel dynamics; international deployment requires domain adaptation; (ii) Competitor data: integration of live OTA web scrapers will further refine competitive elasticity; and (iii) Reinforcement Learning: future extensions will incorporate Contextual Multi-Armed Bandits to dynamically explore rate elasticity in live production environments.</w:t>
      </w:r>
    </w:p>
    <w:p w14:paraId="5ADE236A" w14:textId="77777777" w:rsidR="00011B48" w:rsidRDefault="00000000">
      <w:pPr>
        <w:keepNext/>
        <w:spacing w:before="280" w:after="80"/>
        <w:jc w:val="center"/>
      </w:pPr>
      <w:r>
        <w:rPr>
          <w:rFonts w:ascii="Times New Roman" w:hAnsi="Times New Roman"/>
          <w:b/>
          <w:sz w:val="20"/>
        </w:rPr>
        <w:t>IX. CONCLUSION</w:t>
      </w:r>
    </w:p>
    <w:p w14:paraId="17017885" w14:textId="77777777" w:rsidR="00011B48" w:rsidRDefault="00000000">
      <w:pPr>
        <w:spacing w:after="80" w:line="252" w:lineRule="auto"/>
        <w:ind w:firstLine="288"/>
        <w:jc w:val="both"/>
      </w:pPr>
      <w:r>
        <w:rPr>
          <w:rFonts w:ascii="Times New Roman" w:hAnsi="Times New Roman"/>
          <w:sz w:val="20"/>
        </w:rPr>
        <w:t>This paper presented an end-to-end machine learning framework and revenue management system for dynamic hotel room price optimization. By enforcing a rigorous zero-data-leakage protocol on 119,390 genuine hotel transactions and leveraging SLSQP-optimized weighted blending and Stacking meta-regression across four heterogeneous model families, the system achieved a holdout test R² of 0.8619 and MAE of €10.57. Combining predictive accuracy with operational capacity surge policies, hard price bounds, and localized explainable AI attributions, the platform bridges the gap between statistical machine learning and practical hospitality yield management.</w:t>
      </w:r>
    </w:p>
    <w:p w14:paraId="2E794615" w14:textId="77777777" w:rsidR="00011B48" w:rsidRDefault="00000000">
      <w:pPr>
        <w:keepNext/>
        <w:spacing w:before="280" w:after="80"/>
        <w:jc w:val="center"/>
      </w:pPr>
      <w:r>
        <w:rPr>
          <w:rFonts w:ascii="Times New Roman" w:hAnsi="Times New Roman"/>
          <w:b/>
          <w:sz w:val="20"/>
        </w:rPr>
        <w:t>REFERENCES</w:t>
      </w:r>
    </w:p>
    <w:p w14:paraId="7D825D34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t>[1] L. R. Weatherford and S. E. Bodily, "A taxonomy and research overview of perishable-asset revenue management: Yield management, overbooking, and pricing," Operations Research, vol. 40, no. 5, pp. 831–844, 1992, doi: 10.1287/opre.40.5.831.</w:t>
      </w:r>
    </w:p>
    <w:p w14:paraId="0D3EA255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t>[2] K. T. Talluri and G. J. van Ryzin, The Theory and Practice of Revenue Management. New York, NY: Springer, 2004, doi: 10.1007/b139000.</w:t>
      </w:r>
    </w:p>
    <w:p w14:paraId="36E655E5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t>[3] R. G. Cross, J. A. Higbie, and Z. N. Cross, "Revenue management's renaissance: A rebirth of the art and science of profitable revenue generation," Cornell Hospitality Quarterly, vol. 50, no. 1, pp. 56–81, 2009, doi: 10.1177/1938965508328716.</w:t>
      </w:r>
    </w:p>
    <w:p w14:paraId="3D7A02D1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t>[4] G. Bitran and R. Caldentey, "An overview of pricing models for revenue management," Manufacturing &amp; Service Operations Management, vol. 5, no. 3, pp. 203–229, 2003, doi: 10.1287/msom.5.3.203.16031.</w:t>
      </w:r>
    </w:p>
    <w:p w14:paraId="0CCAD07D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t>[5] N. Antonio, A. de Almeida, and L. Nunes, "Hotel booking demand datasets," Data in Brief, vol. 22, pp. 41–49, 2019, doi: 10.1016/j.dib.2018.11.126.</w:t>
      </w:r>
    </w:p>
    <w:p w14:paraId="5BAD069A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t>[6] H. A. Aziz, M. Saleh, M. H. Rasmy, and H. ElShishiny, "Dynamic room pricing model for hotel revenue management systems," Egyptian Informatics Journal, vol. 12, no. 3, pp. 177–185, 2011, doi: 10.1016/j.eij.2011.08.001.</w:t>
      </w:r>
    </w:p>
    <w:p w14:paraId="17E32ED2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lastRenderedPageBreak/>
        <w:t>[7] A. Vives, M. Jacob, and M. Payeras, "Revenue management by hotel chains: Where are we now?," Journal of Revenue and Pricing Management, vol. 17, no. 4, pp. 213–228, 2018, doi: 10.1057/s41272-018-0136-1.</w:t>
      </w:r>
    </w:p>
    <w:p w14:paraId="0187DED9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t>[8] L. Breiman, "Random forests," Machine Learning, vol. 45, no. 1, pp. 5–32, 2001, doi: 10.1023/A:1010933404324.</w:t>
      </w:r>
    </w:p>
    <w:p w14:paraId="547CD2EB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t>[9] P. Geurts, D. Ernst, and L. Wehenkel, "Extremely randomized trees," Machine Learning, vol. 63, no. 1, pp. 3–42, 2006, doi: 10.1007/s10994-006-6226-1.</w:t>
      </w:r>
    </w:p>
    <w:p w14:paraId="53B46207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t>[10] J. H. Friedman, "Greedy function approximation: A gradient boosting machine," The Annals of Statistics, vol. 29, no. 5, pp. 1189–1232, 2001, doi: 10.1214/aos/1013203451.</w:t>
      </w:r>
    </w:p>
    <w:p w14:paraId="4A2197FC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t>[11] G. Ke et al., "LightGBM: A highly efficient gradient boosting decision tree," in Advances in Neural Information Processing Systems (NeurIPS), vol. 30, pp. 3146–3154, 2017.</w:t>
      </w:r>
    </w:p>
    <w:p w14:paraId="05D0788A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t>[12] D. H. Wolpert, "Stacked generalization," Neural Networks, vol. 5, no. 2, pp. 241–259, 1992, doi: 10.1016/S0893-6080(05)80023-1.</w:t>
      </w:r>
    </w:p>
    <w:p w14:paraId="29ACFF61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t>[13] A. E. Hoerl and R. W. Kennard, "Ridge regression: Biased estimation for nonorthogonal problems," Technometrics, vol. 12, no. 1, pp. 55–67, 1970, doi: 10.1080/00401706.1970.10488634.</w:t>
      </w:r>
    </w:p>
    <w:p w14:paraId="6CCDFD62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t>[14] D. Kraft, "A software package for sequential quadratic programming," Tech. Rep. DFVLR-FB 88-28, DLR German Aerospace Research Center, Cologne, Germany, 1988.</w:t>
      </w:r>
    </w:p>
    <w:p w14:paraId="357E8DF1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t>[15] S. M. Lundberg and S.-I. Lee, "A unified approach to interpreting model predictions," in Advances in Neural Information Processing Systems (NeurIPS), vol. 30, pp. 4765–4774, 2017.</w:t>
      </w:r>
    </w:p>
    <w:p w14:paraId="53181B69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t>[16] B. Pan and Y. Yang, "Forecasting destination weekly hotel occupancy with big data," Tourism Management, vol. 60, pp. 366–377, 2017, doi: 10.1016/j.tourman.2016.12.012.</w:t>
      </w:r>
    </w:p>
    <w:p w14:paraId="5EE06236" w14:textId="77777777" w:rsidR="00011B48" w:rsidRDefault="00000000">
      <w:pPr>
        <w:spacing w:after="60"/>
        <w:ind w:left="360" w:hanging="360"/>
        <w:jc w:val="both"/>
      </w:pPr>
      <w:r>
        <w:rPr>
          <w:rFonts w:ascii="Times New Roman" w:hAnsi="Times New Roman"/>
          <w:sz w:val="17"/>
        </w:rPr>
        <w:t>[17] F. Pedregosa et al., "Scikit-learn: Machine learning in Python," Journal of Machine Learning Research, vol. 12, pp. 2825–2830, 2011.</w:t>
      </w:r>
    </w:p>
    <w:sectPr w:rsidR="00011B48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571470">
    <w:abstractNumId w:val="8"/>
  </w:num>
  <w:num w:numId="2" w16cid:durableId="930891803">
    <w:abstractNumId w:val="6"/>
  </w:num>
  <w:num w:numId="3" w16cid:durableId="1505314728">
    <w:abstractNumId w:val="5"/>
  </w:num>
  <w:num w:numId="4" w16cid:durableId="2000496948">
    <w:abstractNumId w:val="4"/>
  </w:num>
  <w:num w:numId="5" w16cid:durableId="1367751334">
    <w:abstractNumId w:val="7"/>
  </w:num>
  <w:num w:numId="6" w16cid:durableId="1953781108">
    <w:abstractNumId w:val="3"/>
  </w:num>
  <w:num w:numId="7" w16cid:durableId="85394036">
    <w:abstractNumId w:val="2"/>
  </w:num>
  <w:num w:numId="8" w16cid:durableId="773940323">
    <w:abstractNumId w:val="1"/>
  </w:num>
  <w:num w:numId="9" w16cid:durableId="806119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B48"/>
    <w:rsid w:val="00034616"/>
    <w:rsid w:val="0006063C"/>
    <w:rsid w:val="0015074B"/>
    <w:rsid w:val="0029639D"/>
    <w:rsid w:val="00326F90"/>
    <w:rsid w:val="0034063B"/>
    <w:rsid w:val="003D5F2E"/>
    <w:rsid w:val="003F4CA5"/>
    <w:rsid w:val="00AA1D8D"/>
    <w:rsid w:val="00B47730"/>
    <w:rsid w:val="00CB0664"/>
    <w:rsid w:val="00FC693F"/>
    <w:rsid w:val="00FE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07149D"/>
  <w14:defaultImageDpi w14:val="300"/>
  <w15:docId w15:val="{172EA79E-7036-4624-AC62-4196D5714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3279</Words>
  <Characters>18692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</dc:creator>
  <cp:keywords/>
  <dc:description>generated by python-docx</dc:description>
  <cp:lastModifiedBy>Harsh Shah</cp:lastModifiedBy>
  <cp:revision>2</cp:revision>
  <dcterms:created xsi:type="dcterms:W3CDTF">2026-08-25T07:26:00Z</dcterms:created>
  <dcterms:modified xsi:type="dcterms:W3CDTF">2026-08-25T07:26:00Z</dcterms:modified>
  <cp:category/>
</cp:coreProperties>
</file>