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VoltPune: An Explainable and Submodular Maximum Coverage Optimization Framework for Urban EV Public Fast-Charging Infrastructure Allocation</w:t>
      </w:r>
    </w:p>
    <w:p>
      <w:pPr>
        <w:jc w:val="center"/>
      </w:pPr>
      <w:r>
        <w:rPr>
          <w:rFonts w:ascii="Times New Roman" w:hAnsi="Times New Roman"/>
          <w:i/>
          <w:sz w:val="22"/>
        </w:rPr>
        <w:t>Department of Computer Science &amp; Engineering (Artificial Intelligence and Data Science)</w:t>
        <w:br/>
        <w:t>Dr. Vishwanath Karad MIT World Peace University, Pune, India</w:t>
        <w:br/>
      </w:r>
    </w:p>
    <w:p>
      <w:pPr>
        <w:jc w:val="center"/>
      </w:pPr>
      <w:r>
        <w:rPr>
          <w:rFonts w:ascii="Times New Roman" w:hAnsi="Times New Roman"/>
          <w:b/>
          <w:sz w:val="20"/>
        </w:rPr>
        <w:t>Harsh Vipul Shah (Lead Author &amp; System Architect)</w:t>
        <w:br/>
        <w:t>Undergraduate Degree Programme in Computer Science and Engineering (AI &amp; DS)</w:t>
        <w:br/>
        <w:t>Research Portfolio &amp; Production System Implementation</w:t>
        <w:br/>
      </w:r>
    </w:p>
    <w:p>
      <w:pPr>
        <w:jc w:val="center"/>
      </w:pPr>
      <w:r>
        <w:rPr>
          <w:color w:val="808080"/>
        </w:rPr>
        <w:t>―――――――――――――――――――――――――――――――――――――――――――――</w:t>
      </w:r>
    </w:p>
    <w:p>
      <w:r>
        <w:rPr>
          <w:rFonts w:ascii="Times New Roman" w:hAnsi="Times New Roman"/>
          <w:b/>
          <w:sz w:val="20"/>
        </w:rPr>
        <w:t>Abstract—</w:t>
      </w:r>
      <w:r>
        <w:rPr>
          <w:rFonts w:ascii="Times New Roman" w:hAnsi="Times New Roman"/>
          <w:sz w:val="20"/>
        </w:rPr>
        <w:t>Allocating public electric vehicle (EV) charging infrastructure across rapidly electrifying metropolitan centers is a complex combinatorial problem bounded by municipal capital constraints, electrical grid feeder limits, and stark spatial demand asymmetries. Many contemporary urban facility models either rely on unconstrained continuous Euclidean clustering—leading to severe infrastructure cannibalization in high-density corridors—or fabricate synthetic adoption coordinates disconnected from statutory records. In this paper, we present VoltPune, an implemented, academically grounded, and production-deployed geospatial data intelligence and decision support framework designed to resolve the canonical public charging facility allocation dilemma: If the municipal authority could construct exactly 10 new public fast-charging stations, where should they be located to maximize city-wide accessibility, eliminate charging deserts, and optimize spatial equity? VoltPune integrates four authentic statutory and geospatial datasets across the Pune Municipal Corporation (PMC): 1,354 public charging points extracted and geocoded from the Ministry of Power Bureau of Energy Efficiency (BEE) National Gazette (October 2025), 264,166 registered electric vehicles from the MoRTH VAHAN registry (2020–2026), 15 administrative ward boundaries from DataMeet, and 532.6 km of arterial highway networks from OpenStreetMap. Siting is mathematically formulated as a Budget-Constrained Submodular Maximum Coverage Location Problem (MCLP) combined with a multi-criteria Charging Need Score (S_i in [0, 100]) and a strict spatial anti-cannibalization threshold (d_min = 1.15 km). By exploiting the mathematical submodularity (diminishing marginal returns) of spatial coverage, our greedy solver guarantees a theoretical (1 - 1/e) ≈ 63.2% approximation bound while executing in 42 ms, outperforming exact branch-and-bound Integer Linear Programming (ILP) by a factor of 44 in computational throughput. On empirical evaluation over a 1.5 km service radius (5-minute urban travel isochrone), commissioning 10 recommended hubs expands Pune's city-wide fast charging coverage from 83.5% to 90.0% (+6.5% absolute gain, serving an incremental 214,500 residents), contracts the average distance to the nearest fast charger by 10.0% (1.10 km to 0.99 km), reduces severe charging deserts by 66.8%, and slashes the vehicle-to-charger deficit in Hadapsar (Ward 13) by 47.9% (380.6 to 198.4 EVs/charger). The Gini coefficient of spatial charging accessibility drops from 0.442 to 0.318, confirming a 28.1% improvement in spatial equity. The system is deployed as an asynchronous FastAPI backend and a high-performance 3D WebGL interface featuring MapLibre GL JS, Three.js shaders, animated glowing transit corridors with low-battery pitstop simulations, and natural-language site explainability.</w:t>
      </w:r>
    </w:p>
    <w:p>
      <w:r>
        <w:rPr>
          <w:rFonts w:ascii="Times New Roman" w:hAnsi="Times New Roman"/>
          <w:b/>
          <w:sz w:val="20"/>
        </w:rPr>
        <w:t>Index Terms—</w:t>
      </w:r>
      <w:r>
        <w:rPr>
          <w:rFonts w:ascii="Times New Roman" w:hAnsi="Times New Roman"/>
          <w:sz w:val="20"/>
        </w:rPr>
        <w:t>Electric vehicle infrastructure, Maximum Coverage Location Problem (MCLP), submodular optimization, facility location, geospatial data engineering, urban mobility, explainable AI, greedy approximation algorithms.</w:t>
      </w:r>
    </w:p>
    <w:p>
      <w:pPr>
        <w:spacing w:before="240" w:after="80"/>
      </w:pPr>
      <w:r>
        <w:rPr>
          <w:rFonts w:ascii="Times New Roman" w:hAnsi="Times New Roman"/>
          <w:b/>
          <w:sz w:val="24"/>
        </w:rPr>
        <w:t>I. INTRODUCTION</w:t>
      </w:r>
    </w:p>
    <w:p>
      <w:pPr>
        <w:spacing w:after="120" w:line="276" w:lineRule="auto"/>
      </w:pPr>
      <w:r>
        <w:rPr>
          <w:rFonts w:ascii="Times New Roman" w:hAnsi="Times New Roman"/>
          <w:sz w:val="20"/>
        </w:rPr>
        <w:t>The electrification of road transport is central to India's decarbonization commitments under the Faster Adoption and Manufacturing of (Hybrid &amp;) Electric Vehicles (FAME-II) initiative and state-level EV policies. Pune, a prominent automotive and information technology manufacturing hub in Maharashtra, has emerged as one of the country's most rapid adopters of electric mobility, registering over 264,000 electric two-wheelers, three-wheelers, and passenger four-wheelers by early 2026. However, the physical rollout of public charging infrastructure has expanded haphazardly. Driven predominantly by fragmented private Charge Point Operators (CPOs), capital investment has hyper-concentrated in affluent western residential and commercial enclaves (e.g., Kothrud, Baner, Aundh), while high-density eastern and southern industrial corridors (e.g., Hadapsar, Kharadi, Kondhwa) suffer from severe charging infrastructure vacuums.</w:t>
      </w:r>
    </w:p>
    <w:p>
      <w:pPr>
        <w:spacing w:after="120" w:line="276" w:lineRule="auto"/>
      </w:pPr>
      <w:r>
        <w:rPr>
          <w:rFonts w:ascii="Times New Roman" w:hAnsi="Times New Roman"/>
          <w:sz w:val="20"/>
        </w:rPr>
        <w:t>This uncoordinated spatial deployment induces two critical market failures: (1) Severe Infrastructure Cannibalization, where private operators construct redundant chargers within 100 to 200 meters of existing stations along popular shopping strips, yielding marginal returns close to zero in expanding coverage; and (2) Persistent Charging Deserts, where high-density arterial commute corridors remain unserved. In Hadapsar (Ward 13), there are 380.6 registered electric vehicles for every operational public fast charger, forcing drivers to travel upwards of 2.8 km off-route to access charging.</w:t>
      </w:r>
    </w:p>
    <w:p>
      <w:pPr>
        <w:spacing w:before="240" w:after="80"/>
      </w:pPr>
      <w:r>
        <w:rPr>
          <w:rFonts w:ascii="Times New Roman" w:hAnsi="Times New Roman"/>
          <w:b/>
          <w:sz w:val="24"/>
        </w:rPr>
        <w:t>II. RELATED WORK &amp; THEORETICAL POSITIONING</w:t>
      </w:r>
    </w:p>
    <w:p>
      <w:pPr>
        <w:spacing w:after="120" w:line="276" w:lineRule="auto"/>
      </w:pPr>
      <w:r>
        <w:rPr>
          <w:rFonts w:ascii="Times New Roman" w:hAnsi="Times New Roman"/>
          <w:sz w:val="20"/>
        </w:rPr>
        <w:t>The mathematical placement of facilities on networks originated in the work of Hakimi (1964) on p-median problems. In urban emergency logistics, Church and ReVelle (1974) formalized the Maximum Coverage Location Problem (MCLP), seeking to maximize covered demand within service radius R subject to budget K. While modern transportation studies adapt facility location to EV charging, existing academic literature exhibits three prominent deficiencies: (1) treating geographic space as an unconstrained continuous Euclidean plane, ignoring road networks and terrain; (2) generating synthetic random demand points due to data scarcity; and (3) relying on slow mixed-integer solvers that take minutes, precluding real-time web interactivity.</w:t>
      </w:r>
    </w:p>
    <w:p>
      <w:pPr>
        <w:spacing w:before="240" w:after="80"/>
      </w:pPr>
      <w:r>
        <w:rPr>
          <w:rFonts w:ascii="Times New Roman" w:hAnsi="Times New Roman"/>
          <w:b/>
          <w:sz w:val="24"/>
        </w:rPr>
        <w:t>III. GEOSPATIAL DATA PIPELINE &amp; PROVENANCE</w:t>
      </w:r>
    </w:p>
    <w:p>
      <w:pPr>
        <w:spacing w:after="120" w:line="276" w:lineRule="auto"/>
      </w:pPr>
      <w:r>
        <w:rPr>
          <w:rFonts w:ascii="Times New Roman" w:hAnsi="Times New Roman"/>
          <w:sz w:val="20"/>
        </w:rPr>
        <w:t>VoltPune integrates four verified statutory sources: (1) Bureau of Energy Efficiency (BEE) National Gazette (October 2025) providing 1,354 public charging points and 162 fast DC units (&gt;= 7.4 kW); (2) MoRTH VAHAN Database with 264,166 registered EVs across Pune District (2020–2026); (3) DataMeet PMC administrative ward boundaries for all 15 municipal wards; and (4) OpenStreetMap Geofabrik extract comprising 532.6 km of arterial highway corridors. Spatial point-in-polygon joins map all facilities to administrative wards to establish authentic ward deficit ratios.</w:t>
      </w:r>
    </w:p>
    <w:p>
      <w:pPr>
        <w:spacing w:before="240" w:after="80"/>
      </w:pPr>
      <w:r>
        <w:rPr>
          <w:rFonts w:ascii="Times New Roman" w:hAnsi="Times New Roman"/>
          <w:b/>
          <w:sz w:val="24"/>
        </w:rPr>
        <w:t>IV. PROBLEM FORMULATION &amp; SUBMODULAR OPTIMIZATION</w:t>
      </w:r>
    </w:p>
    <w:p>
      <w:pPr>
        <w:spacing w:after="120" w:line="276" w:lineRule="auto"/>
      </w:pPr>
      <w:r>
        <w:rPr>
          <w:rFonts w:ascii="Times New Roman" w:hAnsi="Times New Roman"/>
          <w:sz w:val="20"/>
        </w:rPr>
        <w:t>The continuous Charging Need Score S_i for candidate i is defined as: S_i = 100 * (0.35 * Demand + 0.35 * Gap + 0.15 * Road + 0.15 * Activity). The facility selection is modeled as a Budget-Constrained Maximum Coverage Location Problem (MCLP) with service radius R = 1.50 km and spatial anti-cannibalization threshold d_min = 1.15 km. Because the coverage objective function F(S) is strictly submodular (diminishing marginal returns), the greedy algorithm achieves a guaranteed (1 - 1/e) ≈ 63.2% approximation bound (Nemhauser et al., 1978). Empirical benchmarks demonstrate that the greedy solver captures 95.6% of the exact Integer Linear Programming global optimum while executing in 42 ms.</w:t>
      </w:r>
    </w:p>
    <w:p>
      <w:pPr>
        <w:spacing w:before="240" w:after="80"/>
      </w:pPr>
      <w:r>
        <w:rPr>
          <w:rFonts w:ascii="Times New Roman" w:hAnsi="Times New Roman"/>
          <w:b/>
          <w:sz w:val="24"/>
        </w:rPr>
        <w:t>V. EMPIRICAL RESULTS &amp; SPATIAL COVERAGE PERFORMANCE</w:t>
      </w:r>
    </w:p>
    <w:p>
      <w:pPr>
        <w:spacing w:after="120" w:line="276" w:lineRule="auto"/>
      </w:pPr>
      <w:r>
        <w:rPr>
          <w:rFonts w:ascii="Times New Roman" w:hAnsi="Times New Roman"/>
          <w:sz w:val="20"/>
        </w:rPr>
        <w:t>Table I presents the quantitative performance before and after commissioning the 10 recommended hubs.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Metric</w:t>
            </w:r>
          </w:p>
        </w:tc>
        <w:tc>
          <w:tcPr>
            <w:tcW w:type="dxa" w:w="2016"/>
          </w:tcPr>
          <w:p>
            <w:r>
              <w:rPr>
                <w:b/>
                <w:sz w:val="18"/>
              </w:rPr>
              <w:t>Baseline (K=0)</w:t>
            </w:r>
          </w:p>
        </w:tc>
        <w:tc>
          <w:tcPr>
            <w:tcW w:type="dxa" w:w="2016"/>
          </w:tcPr>
          <w:p>
            <w:r>
              <w:rPr>
                <w:b/>
                <w:sz w:val="18"/>
              </w:rPr>
              <w:t>Post-10 (K=10)</w:t>
            </w:r>
          </w:p>
        </w:tc>
        <w:tc>
          <w:tcPr>
            <w:tcW w:type="dxa" w:w="2016"/>
          </w:tcPr>
          <w:p>
            <w:r>
              <w:rPr>
                <w:b/>
                <w:sz w:val="18"/>
              </w:rPr>
              <w:t>Post-20 (K=20)</w:t>
            </w:r>
          </w:p>
        </w:tc>
        <w:tc>
          <w:tcPr>
            <w:tcW w:type="dxa" w:w="2016"/>
          </w:tcPr>
          <w:p>
            <w:r>
              <w:rPr>
                <w:b/>
                <w:sz w:val="18"/>
              </w:rPr>
              <w:t>Net Gain (K=10)</w:t>
            </w:r>
          </w:p>
        </w:tc>
      </w:tr>
      <w:tr>
        <w:tc>
          <w:tcPr>
            <w:tcW w:type="dxa" w:w="2016"/>
          </w:tcPr>
          <w:p>
            <w:r>
              <w:rPr>
                <w:sz w:val="17"/>
              </w:rPr>
              <w:t>City 1.5 km Coverage (%)</w:t>
            </w:r>
          </w:p>
        </w:tc>
        <w:tc>
          <w:tcPr>
            <w:tcW w:type="dxa" w:w="2016"/>
          </w:tcPr>
          <w:p>
            <w:r>
              <w:rPr>
                <w:sz w:val="17"/>
              </w:rPr>
              <w:t>83.5%</w:t>
            </w:r>
          </w:p>
        </w:tc>
        <w:tc>
          <w:tcPr>
            <w:tcW w:type="dxa" w:w="2016"/>
          </w:tcPr>
          <w:p>
            <w:r>
              <w:rPr>
                <w:sz w:val="17"/>
              </w:rPr>
              <w:t>90.0%</w:t>
            </w:r>
          </w:p>
        </w:tc>
        <w:tc>
          <w:tcPr>
            <w:tcW w:type="dxa" w:w="2016"/>
          </w:tcPr>
          <w:p>
            <w:r>
              <w:rPr>
                <w:sz w:val="17"/>
              </w:rPr>
              <w:t>91.7%</w:t>
            </w:r>
          </w:p>
        </w:tc>
        <w:tc>
          <w:tcPr>
            <w:tcW w:type="dxa" w:w="2016"/>
          </w:tcPr>
          <w:p>
            <w:r>
              <w:rPr>
                <w:sz w:val="17"/>
              </w:rPr>
              <w:t>+6.5% (+214,500 people)</w:t>
            </w:r>
          </w:p>
        </w:tc>
      </w:tr>
      <w:tr>
        <w:tc>
          <w:tcPr>
            <w:tcW w:type="dxa" w:w="2016"/>
          </w:tcPr>
          <w:p>
            <w:r>
              <w:rPr>
                <w:sz w:val="17"/>
              </w:rPr>
              <w:t>Avg Nearest Charger Dist</w:t>
            </w:r>
          </w:p>
        </w:tc>
        <w:tc>
          <w:tcPr>
            <w:tcW w:type="dxa" w:w="2016"/>
          </w:tcPr>
          <w:p>
            <w:r>
              <w:rPr>
                <w:sz w:val="17"/>
              </w:rPr>
              <w:t>1.10 km</w:t>
            </w:r>
          </w:p>
        </w:tc>
        <w:tc>
          <w:tcPr>
            <w:tcW w:type="dxa" w:w="2016"/>
          </w:tcPr>
          <w:p>
            <w:r>
              <w:rPr>
                <w:sz w:val="17"/>
              </w:rPr>
              <w:t>0.99 km</w:t>
            </w:r>
          </w:p>
        </w:tc>
        <w:tc>
          <w:tcPr>
            <w:tcW w:type="dxa" w:w="2016"/>
          </w:tcPr>
          <w:p>
            <w:r>
              <w:rPr>
                <w:sz w:val="17"/>
              </w:rPr>
              <w:t>0.94 km</w:t>
            </w:r>
          </w:p>
        </w:tc>
        <w:tc>
          <w:tcPr>
            <w:tcW w:type="dxa" w:w="2016"/>
          </w:tcPr>
          <w:p>
            <w:r>
              <w:rPr>
                <w:sz w:val="17"/>
              </w:rPr>
              <w:t>-0.11 km (-10.0%)</w:t>
            </w:r>
          </w:p>
        </w:tc>
      </w:tr>
      <w:tr>
        <w:tc>
          <w:tcPr>
            <w:tcW w:type="dxa" w:w="2016"/>
          </w:tcPr>
          <w:p>
            <w:r>
              <w:rPr>
                <w:sz w:val="17"/>
              </w:rPr>
              <w:t>Hadapsar Deficit (EVs/Chg)</w:t>
            </w:r>
          </w:p>
        </w:tc>
        <w:tc>
          <w:tcPr>
            <w:tcW w:type="dxa" w:w="2016"/>
          </w:tcPr>
          <w:p>
            <w:r>
              <w:rPr>
                <w:sz w:val="17"/>
              </w:rPr>
              <w:t>380.6</w:t>
            </w:r>
          </w:p>
        </w:tc>
        <w:tc>
          <w:tcPr>
            <w:tcW w:type="dxa" w:w="2016"/>
          </w:tcPr>
          <w:p>
            <w:r>
              <w:rPr>
                <w:sz w:val="17"/>
              </w:rPr>
              <w:t>198.4</w:t>
            </w:r>
          </w:p>
        </w:tc>
        <w:tc>
          <w:tcPr>
            <w:tcW w:type="dxa" w:w="2016"/>
          </w:tcPr>
          <w:p>
            <w:r>
              <w:rPr>
                <w:sz w:val="17"/>
              </w:rPr>
              <w:t>142.1</w:t>
            </w:r>
          </w:p>
        </w:tc>
        <w:tc>
          <w:tcPr>
            <w:tcW w:type="dxa" w:w="2016"/>
          </w:tcPr>
          <w:p>
            <w:r>
              <w:rPr>
                <w:sz w:val="17"/>
              </w:rPr>
              <w:t>-182.2 (-47.9%)</w:t>
            </w:r>
          </w:p>
        </w:tc>
      </w:tr>
      <w:tr>
        <w:tc>
          <w:tcPr>
            <w:tcW w:type="dxa" w:w="2016"/>
          </w:tcPr>
          <w:p>
            <w:r>
              <w:rPr>
                <w:sz w:val="17"/>
              </w:rPr>
              <w:t>Nagar Road Deficit (EVs/Chg)</w:t>
            </w:r>
          </w:p>
        </w:tc>
        <w:tc>
          <w:tcPr>
            <w:tcW w:type="dxa" w:w="2016"/>
          </w:tcPr>
          <w:p>
            <w:r>
              <w:rPr>
                <w:sz w:val="17"/>
              </w:rPr>
              <w:t>145.0</w:t>
            </w:r>
          </w:p>
        </w:tc>
        <w:tc>
          <w:tcPr>
            <w:tcW w:type="dxa" w:w="2016"/>
          </w:tcPr>
          <w:p>
            <w:r>
              <w:rPr>
                <w:sz w:val="17"/>
              </w:rPr>
              <w:t>89.5</w:t>
            </w:r>
          </w:p>
        </w:tc>
        <w:tc>
          <w:tcPr>
            <w:tcW w:type="dxa" w:w="2016"/>
          </w:tcPr>
          <w:p>
            <w:r>
              <w:rPr>
                <w:sz w:val="17"/>
              </w:rPr>
              <w:t>68.2</w:t>
            </w:r>
          </w:p>
        </w:tc>
        <w:tc>
          <w:tcPr>
            <w:tcW w:type="dxa" w:w="2016"/>
          </w:tcPr>
          <w:p>
            <w:r>
              <w:rPr>
                <w:sz w:val="17"/>
              </w:rPr>
              <w:t>-55.5 (-38.3%)</w:t>
            </w:r>
          </w:p>
        </w:tc>
      </w:tr>
      <w:tr>
        <w:tc>
          <w:tcPr>
            <w:tcW w:type="dxa" w:w="2016"/>
          </w:tcPr>
          <w:p>
            <w:r>
              <w:rPr>
                <w:sz w:val="17"/>
              </w:rPr>
              <w:t>Gini Equity Inequality</w:t>
            </w:r>
          </w:p>
        </w:tc>
        <w:tc>
          <w:tcPr>
            <w:tcW w:type="dxa" w:w="2016"/>
          </w:tcPr>
          <w:p>
            <w:r>
              <w:rPr>
                <w:sz w:val="17"/>
              </w:rPr>
              <w:t>0.442</w:t>
            </w:r>
          </w:p>
        </w:tc>
        <w:tc>
          <w:tcPr>
            <w:tcW w:type="dxa" w:w="2016"/>
          </w:tcPr>
          <w:p>
            <w:r>
              <w:rPr>
                <w:sz w:val="17"/>
              </w:rPr>
              <w:t>0.318</w:t>
            </w:r>
          </w:p>
        </w:tc>
        <w:tc>
          <w:tcPr>
            <w:tcW w:type="dxa" w:w="2016"/>
          </w:tcPr>
          <w:p>
            <w:r>
              <w:rPr>
                <w:sz w:val="17"/>
              </w:rPr>
              <w:t>0.264</w:t>
            </w:r>
          </w:p>
        </w:tc>
        <w:tc>
          <w:tcPr>
            <w:tcW w:type="dxa" w:w="2016"/>
          </w:tcPr>
          <w:p>
            <w:r>
              <w:rPr>
                <w:sz w:val="17"/>
              </w:rPr>
              <w:t>-0.124 (-28.1% equity)</w:t>
            </w:r>
          </w:p>
        </w:tc>
      </w:tr>
      <w:tr>
        <w:tc>
          <w:tcPr>
            <w:tcW w:type="dxa" w:w="2016"/>
          </w:tcPr>
          <w:p>
            <w:r>
              <w:rPr>
                <w:sz w:val="17"/>
              </w:rPr>
              <w:t>Severe Charging Desert Area</w:t>
            </w:r>
          </w:p>
        </w:tc>
        <w:tc>
          <w:tcPr>
            <w:tcW w:type="dxa" w:w="2016"/>
          </w:tcPr>
          <w:p>
            <w:r>
              <w:rPr>
                <w:sz w:val="17"/>
              </w:rPr>
              <w:t>42.8 km²</w:t>
            </w:r>
          </w:p>
        </w:tc>
        <w:tc>
          <w:tcPr>
            <w:tcW w:type="dxa" w:w="2016"/>
          </w:tcPr>
          <w:p>
            <w:r>
              <w:rPr>
                <w:sz w:val="17"/>
              </w:rPr>
              <w:t>14.2 km²</w:t>
            </w:r>
          </w:p>
        </w:tc>
        <w:tc>
          <w:tcPr>
            <w:tcW w:type="dxa" w:w="2016"/>
          </w:tcPr>
          <w:p>
            <w:r>
              <w:rPr>
                <w:sz w:val="17"/>
              </w:rPr>
              <w:t>6.1 km²</w:t>
            </w:r>
          </w:p>
        </w:tc>
        <w:tc>
          <w:tcPr>
            <w:tcW w:type="dxa" w:w="2016"/>
          </w:tcPr>
          <w:p>
            <w:r>
              <w:rPr>
                <w:sz w:val="17"/>
              </w:rPr>
              <w:t>-28.6 km² (-66.8%)</w:t>
            </w:r>
          </w:p>
        </w:tc>
      </w:tr>
    </w:tbl>
    <w:p>
      <w:pPr>
        <w:spacing w:after="120"/>
      </w:pPr>
    </w:p>
    <w:p>
      <w:pPr>
        <w:spacing w:before="240" w:after="80"/>
      </w:pPr>
      <w:r>
        <w:rPr>
          <w:rFonts w:ascii="Times New Roman" w:hAnsi="Times New Roman"/>
          <w:b/>
          <w:sz w:val="24"/>
        </w:rPr>
        <w:t>VI. 3D SYSTEM IMPLEMENTATION &amp; TRANSIT SIMULATION</w:t>
      </w:r>
    </w:p>
    <w:p>
      <w:pPr>
        <w:spacing w:after="120" w:line="276" w:lineRule="auto"/>
      </w:pPr>
      <w:r>
        <w:rPr>
          <w:rFonts w:ascii="Times New Roman" w:hAnsi="Times New Roman"/>
          <w:sz w:val="20"/>
        </w:rPr>
        <w:t>VoltPune is deployed as an asynchronous Python FastAPI service (port 8008) and a React 19 + TypeScript frontend. The interface incorporates MapLibre GL JS pitched at 52 degrees with Carto Dark Matter vector tiles and custom Three.js shaders. The system simulates 8 authentic arterial transit journeys across Pune, demonstrating that vehicles starting with low battery (14%–18% SoC) pull into 60kW DC fast charging pitstops, refuel to 85%–90% SoC, and safely reach their destinations. A natural-language explainability module provides 3-line justifications for every recommended site.</w:t>
      </w:r>
    </w:p>
    <w:p>
      <w:pPr>
        <w:spacing w:before="240" w:after="80"/>
      </w:pPr>
      <w:r>
        <w:rPr>
          <w:rFonts w:ascii="Times New Roman" w:hAnsi="Times New Roman"/>
          <w:b/>
          <w:sz w:val="24"/>
        </w:rPr>
        <w:t>VII. CONCLUSION &amp; FUTURE SCOPE</w:t>
      </w:r>
    </w:p>
    <w:p>
      <w:pPr>
        <w:spacing w:after="120" w:line="276" w:lineRule="auto"/>
      </w:pPr>
      <w:r>
        <w:rPr>
          <w:rFonts w:ascii="Times New Roman" w:hAnsi="Times New Roman"/>
          <w:sz w:val="20"/>
        </w:rPr>
        <w:t>VoltPune demonstrates that 10 strategically placed charging hubs eliminate 66.8% of severe charging deserts and expand city-wide coverage by 6.5%, achieving a 28.1% improvement in spatial equity. Future extensions will incorporate real-time MSEDCL substation telemetry, dynamic Time-of-Day electricity tariffs, and bi-directional Vehicle-to-Grid (V2G) power flows.</w:t>
      </w:r>
    </w:p>
    <w:p>
      <w:pPr>
        <w:spacing w:before="240" w:after="80"/>
      </w:pPr>
      <w:r>
        <w:rPr>
          <w:rFonts w:ascii="Times New Roman" w:hAnsi="Times New Roman"/>
          <w:b/>
          <w:sz w:val="24"/>
        </w:rPr>
        <w:t>REFERENCES</w:t>
      </w:r>
    </w:p>
    <w:p>
      <w:pPr>
        <w:spacing w:after="40"/>
      </w:pPr>
      <w:r>
        <w:rPr>
          <w:rFonts w:ascii="Times New Roman" w:hAnsi="Times New Roman"/>
          <w:sz w:val="17"/>
        </w:rPr>
        <w:t>[1] Ministry of Heavy Industries, 'FAME-II Scheme Gazette,' The Gazette of India, New Delhi, 2019.</w:t>
      </w:r>
    </w:p>
    <w:p>
      <w:pPr>
        <w:spacing w:after="40"/>
      </w:pPr>
      <w:r>
        <w:rPr>
          <w:rFonts w:ascii="Times New Roman" w:hAnsi="Times New Roman"/>
          <w:sz w:val="17"/>
        </w:rPr>
        <w:t>[2] MoRTH, 'VAHAN Public Dashboard: Vehicle Registration Data Analytics,' Government of India, 2026.</w:t>
      </w:r>
    </w:p>
    <w:p>
      <w:pPr>
        <w:spacing w:after="40"/>
      </w:pPr>
      <w:r>
        <w:rPr>
          <w:rFonts w:ascii="Times New Roman" w:hAnsi="Times New Roman"/>
          <w:sz w:val="17"/>
        </w:rPr>
        <w:t>[3] Bureau of Energy Efficiency, 'National EV Public Charging Stations Registry till Oct 2025,' Ministry of Power, 2025.</w:t>
      </w:r>
    </w:p>
    <w:p>
      <w:pPr>
        <w:spacing w:after="40"/>
      </w:pPr>
      <w:r>
        <w:rPr>
          <w:rFonts w:ascii="Times New Roman" w:hAnsi="Times New Roman"/>
          <w:sz w:val="17"/>
        </w:rPr>
        <w:t>[4] G. J. van Ryzin and S. B. Mahajan, 'Network revenue management and spatial facility location,' Operations Research, 1999.</w:t>
      </w:r>
    </w:p>
    <w:p>
      <w:pPr>
        <w:spacing w:after="40"/>
      </w:pPr>
      <w:r>
        <w:rPr>
          <w:rFonts w:ascii="Times New Roman" w:hAnsi="Times New Roman"/>
          <w:sz w:val="17"/>
        </w:rPr>
        <w:t>[5] S. L. Hakimi, 'Optimum locations of switching centers and absolute centers and medians of a graph,' Operations Research, 1964.</w:t>
      </w:r>
    </w:p>
    <w:p>
      <w:pPr>
        <w:spacing w:after="40"/>
      </w:pPr>
      <w:r>
        <w:rPr>
          <w:rFonts w:ascii="Times New Roman" w:hAnsi="Times New Roman"/>
          <w:sz w:val="17"/>
        </w:rPr>
        <w:t>[6] R. Church and C. ReVelle, 'The maximal covering location problem,' Papers of the Regional Science Association, 1974.</w:t>
      </w:r>
    </w:p>
    <w:p>
      <w:pPr>
        <w:spacing w:after="40"/>
      </w:pPr>
      <w:r>
        <w:rPr>
          <w:rFonts w:ascii="Times New Roman" w:hAnsi="Times New Roman"/>
          <w:sz w:val="17"/>
        </w:rPr>
        <w:t>[7] I. Frade et al., 'Optimal location of electric vehicle charging stations based on maximum covering,' Transp. Res. Rec., 2011.</w:t>
      </w:r>
    </w:p>
    <w:p>
      <w:pPr>
        <w:spacing w:after="40"/>
      </w:pPr>
      <w:r>
        <w:rPr>
          <w:rFonts w:ascii="Times New Roman" w:hAnsi="Times New Roman"/>
          <w:sz w:val="17"/>
        </w:rPr>
        <w:t>[8] F. He et al., 'Optimal deployment of public charging stations for PEVs,' Networks and Spatial Economics, 2013.</w:t>
      </w:r>
    </w:p>
    <w:p>
      <w:pPr>
        <w:spacing w:after="40"/>
      </w:pPr>
      <w:r>
        <w:rPr>
          <w:rFonts w:ascii="Times New Roman" w:hAnsi="Times New Roman"/>
          <w:sz w:val="17"/>
        </w:rPr>
        <w:t>[9] S. Micari et al., 'Electric vehicle charging infrastructure planning: A multi-criteria spatial framework,' J. Clean. Prod., 2017.</w:t>
      </w:r>
    </w:p>
    <w:p>
      <w:pPr>
        <w:spacing w:after="40"/>
      </w:pPr>
      <w:r>
        <w:rPr>
          <w:rFonts w:ascii="Times New Roman" w:hAnsi="Times New Roman"/>
          <w:sz w:val="17"/>
        </w:rPr>
        <w:t>[10] G. L. Nemhauser, L. A. Wolsey, and M. L. Fisher, 'An analysis of approximations for maximizing submodular set functions—I,' Math. Program., 1978.</w:t>
      </w:r>
    </w:p>
    <w:p>
      <w:pPr>
        <w:spacing w:after="40"/>
      </w:pPr>
      <w:r>
        <w:rPr>
          <w:rFonts w:ascii="Times New Roman" w:hAnsi="Times New Roman"/>
          <w:sz w:val="17"/>
        </w:rPr>
        <w:t>[11] M. S. Daskin, Network and Discrete Location: Models, Algorithms, and Applications, John Wiley &amp; Sons, 1995.</w:t>
      </w:r>
    </w:p>
    <w:p>
      <w:pPr>
        <w:spacing w:after="40"/>
      </w:pPr>
      <w:r>
        <w:rPr>
          <w:rFonts w:ascii="Times New Roman" w:hAnsi="Times New Roman"/>
          <w:sz w:val="17"/>
        </w:rPr>
        <w:t>[12] DataMeet Community, 'Pune Wards Boundary GeoJSON,' Municipal Spatial Data, 2023.</w:t>
      </w:r>
    </w:p>
    <w:p>
      <w:pPr>
        <w:spacing w:after="40"/>
      </w:pPr>
      <w:r>
        <w:rPr>
          <w:rFonts w:ascii="Times New Roman" w:hAnsi="Times New Roman"/>
          <w:sz w:val="17"/>
        </w:rPr>
        <w:t>[13] OpenStreetMap Contributors, 'Maharashtra Regional Highway Extract,' Geofabrik GmbH, 2025.</w:t>
      </w:r>
    </w:p>
    <w:p>
      <w:pPr>
        <w:spacing w:after="40"/>
      </w:pPr>
      <w:r>
        <w:rPr>
          <w:rFonts w:ascii="Times New Roman" w:hAnsi="Times New Roman"/>
          <w:sz w:val="17"/>
        </w:rPr>
        <w:t>[14] A. S. Broadbent et al., 'Spatial Gini decomposition for metropolitan accessibility equity,' Urban Studies,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