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900"/>
        <w:jc w:val="center"/>
      </w:pPr>
      <w:r>
        <w:rPr>
          <w:rFonts w:ascii="Calibri" w:cs="Calibri" w:eastAsia="Calibri" w:hAnsi="Calibri"/>
          <w:b/>
          <w:bCs/>
          <w:color w:val="1F3864"/>
          <w:sz w:val="52"/>
          <w:szCs w:val="52"/>
        </w:rPr>
        <w:t xml:space="preserve">SAGAR SETU</w:t>
      </w:r>
    </w:p>
    <w:p>
      <w:pPr>
        <w:spacing w:after="420"/>
        <w:jc w:val="center"/>
      </w:pPr>
      <w:r>
        <w:rPr>
          <w:rFonts w:ascii="Calibri" w:cs="Calibri" w:eastAsia="Calibri" w:hAnsi="Calibri"/>
          <w:sz w:val="28"/>
          <w:szCs w:val="28"/>
        </w:rPr>
        <w:t xml:space="preserve">An Agentic, Evidence-Grounded Marine Advisory System
for Indian Small-Craft Fishermen</w:t>
      </w:r>
    </w:p>
    <w:p>
      <w:pPr>
        <w:spacing w:after="700"/>
        <w:jc w:val="center"/>
      </w:pPr>
      <w:r>
        <w:rPr>
          <w:rFonts w:ascii="Calibri" w:cs="Calibri" w:eastAsia="Calibri" w:hAnsi="Calibri"/>
          <w:color w:val="555555"/>
          <w:sz w:val="24"/>
          <w:szCs w:val="24"/>
        </w:rPr>
        <w:t xml:space="preserve">Synopsis Report  ·  Mid-Term Review</w:t>
      </w:r>
    </w:p>
    <w:p>
      <w:pPr>
        <w:spacing w:after="40"/>
        <w:jc w:val="center"/>
      </w:pPr>
      <w:r>
        <w:rPr>
          <w:rFonts w:ascii="Calibri" w:cs="Calibri" w:eastAsia="Calibri" w:hAnsi="Calibri"/>
          <w:b/>
          <w:bCs/>
          <w:sz w:val="24"/>
          <w:szCs w:val="24"/>
        </w:rPr>
        <w:t xml:space="preserve">Harshvardhan Singh</w:t>
      </w:r>
    </w:p>
    <w:p>
      <w:pPr>
        <w:spacing w:after="40"/>
        <w:jc w:val="center"/>
      </w:pPr>
      <w:r>
        <w:rPr>
          <w:rFonts w:ascii="Calibri" w:cs="Calibri" w:eastAsia="Calibri" w:hAnsi="Calibri"/>
          <w:sz w:val="22"/>
          <w:szCs w:val="22"/>
        </w:rPr>
        <w:t xml:space="preserve">Supervisor: Ms. Anusha Chhabra</w:t>
      </w:r>
    </w:p>
    <w:p>
      <w:pPr>
        <w:spacing w:after="300"/>
        <w:jc w:val="center"/>
      </w:pPr>
      <w:r>
        <w:rPr>
          <w:rFonts w:ascii="Calibri" w:cs="Calibri" w:eastAsia="Calibri" w:hAnsi="Calibri"/>
          <w:color w:val="555555"/>
          <w:sz w:val="22"/>
          <w:szCs w:val="22"/>
        </w:rPr>
        <w:t xml:space="preserve">13 October 2026</w:t>
      </w:r>
    </w:p>
    <w:p>
      <w:pPr>
        <w:spacing w:after="0"/>
        <w:jc w:val="center"/>
      </w:pPr>
      <w:r>
        <w:rPr>
          <w:rFonts w:ascii="Calibri" w:cs="Calibri" w:eastAsia="Calibri" w:hAnsi="Calibri"/>
          <w:i/>
          <w:iCs/>
          <w:color w:val="555555"/>
          <w:sz w:val="19"/>
          <w:szCs w:val="19"/>
        </w:rPr>
        <w:t xml:space="preserve">Submitted for the ISRO / INCOIS agentic marine intelligence problem statement,
Smart India Hackathon 2026</w:t>
      </w:r>
    </w:p>
    <w:p>
      <w:r>
        <w:br w:type="page"/>
      </w:r>
    </w:p>
    <w:p>
      <w:pPr>
        <w:pStyle w:val="Heading1"/>
        <w:spacing w:after="140" w:before="300"/>
      </w:pPr>
      <w:r>
        <w:rPr>
          <w:rFonts w:ascii="Calibri" w:cs="Calibri" w:eastAsia="Calibri" w:hAnsi="Calibri"/>
        </w:rPr>
        <w:t xml:space="preserve">Abstract</w:t>
      </w:r>
    </w:p>
    <w:p>
      <w:pPr>
        <w:spacing w:after="130" w:line="276"/>
      </w:pPr>
      <w:r>
        <w:rPr>
          <w:rFonts w:ascii="Calibri" w:cs="Calibri" w:eastAsia="Calibri" w:hAnsi="Calibri"/>
          <w:sz w:val="21"/>
          <w:szCs w:val="21"/>
        </w:rPr>
        <w:t xml:space="preserve">India's ocean information agency, INCOIS, publishes some of the best small-craft marine guidance in the world — a validated wave and wind forecast, a boat-specific capsizing advisory, and a satellite-derived fishing-zone advisory with two decades of catch validation behind it. A fisherman preparing to leave harbour at four in the morning nevertheless has to open three separate web products, read them in English or as colour-coded maps, and combine them in his head. This work asks whether a conversational agent can do that combining for him — in his own language, over a single question — without ever being the thing that decides whether he goes to sea.</w:t>
      </w:r>
    </w:p>
    <w:p>
      <w:pPr>
        <w:spacing w:after="130" w:line="276"/>
      </w:pPr>
      <w:r>
        <w:rPr>
          <w:rFonts w:ascii="Calibri" w:cs="Calibri" w:eastAsia="Calibri" w:hAnsi="Calibri"/>
          <w:sz w:val="21"/>
          <w:szCs w:val="21"/>
        </w:rPr>
        <w:t xml:space="preserve">The proposed system, </w:t>
      </w:r>
      <w:r>
        <w:rPr>
          <w:rFonts w:ascii="Calibri" w:cs="Calibri" w:eastAsia="Calibri" w:hAnsi="Calibri"/>
          <w:b/>
          <w:bCs/>
          <w:sz w:val="21"/>
          <w:szCs w:val="21"/>
        </w:rPr>
        <w:t xml:space="preserve">Sagar Setu</w:t>
      </w:r>
      <w:r>
        <w:rPr>
          <w:rFonts w:ascii="Calibri" w:cs="Calibri" w:eastAsia="Calibri" w:hAnsi="Calibri"/>
          <w:sz w:val="21"/>
          <w:szCs w:val="21"/>
        </w:rPr>
        <w:t xml:space="preserve">, places a language model on both sides of a deterministic core. A planner interprets the question and dispatches parallel data fetches; a fixed, unit-tested rule engine applies published small-craft thresholds and returns the verdict; a second model pass explains that verdict in the user's language; and a mechanical verifier deletes any number in the generated answer that is not present in an evidence ledger of fetched observations. Every value the user sees carries its source, its valid time, its distance from the query point and its staleness.</w:t>
      </w:r>
    </w:p>
    <w:p>
      <w:pPr>
        <w:spacing w:after="130" w:line="276"/>
      </w:pPr>
      <w:r>
        <w:rPr>
          <w:rFonts w:ascii="Calibri" w:cs="Calibri" w:eastAsia="Calibri" w:hAnsi="Calibri"/>
          <w:sz w:val="21"/>
          <w:szCs w:val="21"/>
        </w:rPr>
        <w:t xml:space="preserve">A working implementation answers questions at five harbours spanning the Arabian Sea, the Bay of Bengal and the Andamans. On a 92-day, 460-harbour-morning backtest across the 2026 south-west monsoon, the day-ahead </w:t>
      </w:r>
      <w:r>
        <w:rPr>
          <w:rFonts w:ascii="Calibri" w:cs="Calibri" w:eastAsia="Calibri" w:hAnsi="Calibri"/>
          <w:i/>
          <w:iCs/>
          <w:sz w:val="21"/>
          <w:szCs w:val="21"/>
        </w:rPr>
        <w:t xml:space="preserve">do-not-sail</w:t>
      </w:r>
      <w:r>
        <w:rPr>
          <w:rFonts w:ascii="Calibri" w:cs="Calibri" w:eastAsia="Calibri" w:hAnsi="Calibri"/>
          <w:sz w:val="21"/>
          <w:szCs w:val="21"/>
        </w:rPr>
        <w:t xml:space="preserve"> verdict achieved a </w:t>
      </w:r>
      <w:r>
        <w:rPr>
          <w:rFonts w:ascii="Calibri" w:cs="Calibri" w:eastAsia="Calibri" w:hAnsi="Calibri"/>
          <w:b/>
          <w:bCs/>
          <w:sz w:val="21"/>
          <w:szCs w:val="21"/>
        </w:rPr>
        <w:t xml:space="preserve">93.9 % hit rate at a 3.1 % false-alarm ratio</w:t>
      </w:r>
      <w:r>
        <w:rPr>
          <w:rFonts w:ascii="Calibri" w:cs="Calibri" w:eastAsia="Calibri" w:hAnsi="Calibri"/>
          <w:sz w:val="21"/>
          <w:szCs w:val="21"/>
        </w:rPr>
        <w:t xml:space="preserve">, with no dangerous morning ever graded </w:t>
      </w:r>
      <w:r>
        <w:rPr>
          <w:rFonts w:ascii="Calibri" w:cs="Calibri" w:eastAsia="Calibri" w:hAnsi="Calibri"/>
          <w:i/>
          <w:iCs/>
          <w:sz w:val="21"/>
          <w:szCs w:val="21"/>
        </w:rPr>
        <w:t xml:space="preserve">go</w:t>
      </w:r>
      <w:r>
        <w:rPr>
          <w:rFonts w:ascii="Calibri" w:cs="Calibri" w:eastAsia="Calibri" w:hAnsi="Calibri"/>
          <w:sz w:val="21"/>
          <w:szCs w:val="21"/>
        </w:rPr>
        <w:t xml:space="preserve">.</w:t>
      </w:r>
    </w:p>
    <w:p>
      <w:pPr>
        <w:pStyle w:val="Heading1"/>
        <w:spacing w:after="140" w:before="300"/>
      </w:pPr>
      <w:r>
        <w:rPr>
          <w:rFonts w:ascii="Calibri" w:cs="Calibri" w:eastAsia="Calibri" w:hAnsi="Calibri"/>
        </w:rPr>
        <w:t xml:space="preserve">1.  Introduction and Problem Definition</w:t>
      </w:r>
    </w:p>
    <w:p>
      <w:pPr>
        <w:pStyle w:val="Heading2"/>
        <w:spacing w:after="100" w:before="220"/>
      </w:pPr>
      <w:r>
        <w:rPr>
          <w:rFonts w:ascii="Calibri" w:cs="Calibri" w:eastAsia="Calibri" w:hAnsi="Calibri"/>
        </w:rPr>
        <w:t xml:space="preserve">1.1  Context</w:t>
      </w:r>
    </w:p>
    <w:p>
      <w:pPr>
        <w:spacing w:after="130" w:line="276"/>
      </w:pPr>
      <w:r>
        <w:rPr>
          <w:rFonts w:ascii="Calibri" w:cs="Calibri" w:eastAsia="Calibri" w:hAnsi="Calibri"/>
          <w:sz w:val="21"/>
          <w:szCs w:val="21"/>
        </w:rPr>
        <w:t xml:space="preserve">Marine fishing supports roughly four million people along India's 11,098 km coastline, the large majority of them operating craft under twelve metres. These are open or partly-decked boats, often without radar, weather fax or reliable offshore connectivity. The decision that matters is made once a day, in the dark, before the boat leaves: go, or stay. A wrong decision in one direction costs a day's income; in the other it can cost the boat and the crew.</w:t>
      </w:r>
    </w:p>
    <w:p>
      <w:pPr>
        <w:spacing w:after="130" w:line="276"/>
      </w:pPr>
      <w:r>
        <w:rPr>
          <w:rFonts w:ascii="Calibri" w:cs="Calibri" w:eastAsia="Calibri" w:hAnsi="Calibri"/>
          <w:sz w:val="21"/>
          <w:szCs w:val="21"/>
        </w:rPr>
        <w:t xml:space="preserve">Two further decisions ride alongside it. </w:t>
      </w:r>
      <w:r>
        <w:rPr>
          <w:rFonts w:ascii="Calibri" w:cs="Calibri" w:eastAsia="Calibri" w:hAnsi="Calibri"/>
          <w:i/>
          <w:iCs/>
          <w:sz w:val="21"/>
          <w:szCs w:val="21"/>
        </w:rPr>
        <w:t xml:space="preserve">Where should I fish?</w:t>
      </w:r>
      <w:r>
        <w:rPr>
          <w:rFonts w:ascii="Calibri" w:cs="Calibri" w:eastAsia="Calibri" w:hAnsi="Calibri"/>
          <w:sz w:val="21"/>
          <w:szCs w:val="21"/>
        </w:rPr>
        <w:t xml:space="preserve"> — the difference between a full hold and a wasted tank of diesel. And, in the Palk Bay and Gulf of Mannar, </w:t>
      </w:r>
      <w:r>
        <w:rPr>
          <w:rFonts w:ascii="Calibri" w:cs="Calibri" w:eastAsia="Calibri" w:hAnsi="Calibri"/>
          <w:i/>
          <w:iCs/>
          <w:sz w:val="21"/>
          <w:szCs w:val="21"/>
        </w:rPr>
        <w:t xml:space="preserve">where is the border?</w:t>
      </w:r>
      <w:r>
        <w:rPr>
          <w:rFonts w:ascii="Calibri" w:cs="Calibri" w:eastAsia="Calibri" w:hAnsi="Calibri"/>
          <w:sz w:val="21"/>
          <w:szCs w:val="21"/>
        </w:rPr>
        <w:t xml:space="preserve"> — Indian fishermen are detained by the Sri Lankan Navy for crossing the International Maritime Boundary Line every year, and the boundary is invisible at sea.</w:t>
      </w:r>
    </w:p>
    <w:p>
      <w:pPr>
        <w:spacing w:after="130" w:line="276"/>
      </w:pPr>
      <w:r>
        <w:rPr>
          <w:rFonts w:ascii="Calibri" w:cs="Calibri" w:eastAsia="Calibri" w:hAnsi="Calibri"/>
          <w:sz w:val="21"/>
          <w:szCs w:val="21"/>
        </w:rPr>
        <w:t xml:space="preserve">India already produces the information needed for all three. The gap is not data. The gap is the last two hundred metres between a government web portal and a man standing on a beach at 4 a.m. holding a low-cost Android phone.</w:t>
      </w:r>
    </w:p>
    <w:p>
      <w:pPr>
        <w:pStyle w:val="Heading2"/>
        <w:spacing w:after="100" w:before="220"/>
      </w:pPr>
      <w:r>
        <w:rPr>
          <w:rFonts w:ascii="Calibri" w:cs="Calibri" w:eastAsia="Calibri" w:hAnsi="Calibri"/>
        </w:rPr>
        <w:t xml:space="preserve">1.2  Problem statement</w:t>
      </w:r>
    </w:p>
    <w:p>
      <w:pPr>
        <w:pBdr>
          <w:left w:val="single" w:color="1F3864" w:sz="18" w:space="14"/>
        </w:pBdr>
        <w:spacing w:after="160" w:before="140" w:line="288"/>
        <w:ind w:left="420" w:right="300"/>
      </w:pPr>
      <w:r>
        <w:rPr>
          <w:rFonts w:ascii="Calibri" w:cs="Calibri" w:eastAsia="Calibri" w:hAnsi="Calibri"/>
          <w:sz w:val="22"/>
          <w:szCs w:val="22"/>
        </w:rPr>
        <w:t xml:space="preserve">Given a free-form question asked in any of India's scheduled languages, produce a single, trustworthy operational answer — safety verdict, fishing guidance and boundary warning together — derived verifiably from official marine data products, delivered inside a latency budget short enough to be used before a boat leaves, and degrading honestly and visibly when data sources are slow or unreachable.</w:t>
      </w:r>
    </w:p>
    <w:p>
      <w:pPr>
        <w:pBdr>
          <w:left w:val="single" w:color="1F3864" w:sz="18" w:space="14"/>
        </w:pBdr>
        <w:spacing w:after="160" w:before="140" w:line="288"/>
        <w:ind w:left="420" w:right="300"/>
      </w:pPr>
      <w:r>
        <w:rPr>
          <w:rFonts w:ascii="Calibri" w:cs="Calibri" w:eastAsia="Calibri" w:hAnsi="Calibri"/>
          <w:b/>
          <w:bCs/>
          <w:sz w:val="21"/>
          <w:szCs w:val="21"/>
        </w:rPr>
        <w:t xml:space="preserve">The language model must never be the component that decides whether it is safe to go to sea.</w:t>
      </w:r>
    </w:p>
    <w:p>
      <w:pPr>
        <w:pStyle w:val="Heading2"/>
        <w:spacing w:after="100" w:before="220"/>
      </w:pPr>
      <w:r>
        <w:rPr>
          <w:rFonts w:ascii="Calibri" w:cs="Calibri" w:eastAsia="Calibri" w:hAnsi="Calibri"/>
        </w:rPr>
        <w:t xml:space="preserve">1.3  Objectives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0"/>
        <w:gridCol w:w="8266"/>
      </w:tblGrid>
      <w:tr>
        <w:trPr>
          <w:tblHeader/>
        </w:trPr>
        <w:tc>
          <w:tcPr>
            <w:tcW w:type="dxa" w:w="760"/>
            <w:shd w:fill="DCE6F1" w:color="auto" w:val="clear"/>
            <w:tcMar>
              <w:top w:type="dxa" w:w="70"/>
              <w:left w:type="dxa" w:w="100"/>
              <w:bottom w:type="dxa" w:w="70"/>
              <w:right w:type="dxa" w:w="100"/>
            </w:tcMar>
          </w:tcPr>
          <w:p>
            <w:pPr>
              <w:spacing w:after="0"/>
              <w:jc w:val="center"/>
            </w:pPr>
            <w:r>
              <w:rPr>
                <w:rFonts w:ascii="Calibri" w:cs="Calibri" w:eastAsia="Calibri" w:hAnsi="Calibri"/>
                <w:b/>
                <w:bCs/>
                <w:sz w:val="19"/>
                <w:szCs w:val="19"/>
              </w:rPr>
              <w:t xml:space="preserve">#</w:t>
            </w:r>
          </w:p>
        </w:tc>
        <w:tc>
          <w:tcPr>
            <w:tcW w:type="dxa" w:w="8266"/>
            <w:shd w:fill="DCE6F1" w:color="auto" w:val="clear"/>
            <w:tcMar>
              <w:top w:type="dxa" w:w="70"/>
              <w:left w:type="dxa" w:w="100"/>
              <w:bottom w:type="dxa" w:w="70"/>
              <w:right w:type="dxa" w:w="100"/>
            </w:tcMar>
          </w:tcPr>
          <w:p>
            <w:pPr>
              <w:spacing w:after="0"/>
              <w:jc w:val="center"/>
            </w:pPr>
            <w:r>
              <w:rPr>
                <w:rFonts w:ascii="Calibri" w:cs="Calibri" w:eastAsia="Calibri" w:hAnsi="Calibri"/>
                <w:b/>
                <w:bCs/>
                <w:sz w:val="19"/>
                <w:szCs w:val="19"/>
              </w:rPr>
              <w:t xml:space="preserve">Objective</w:t>
            </w:r>
          </w:p>
        </w:tc>
      </w:tr>
      <w:tr>
        <w:trPr>
          <w:tblHeader w:val="false"/>
        </w:trPr>
        <w:tc>
          <w:tcPr>
            <w:tcW w:type="dxa" w:w="760"/>
            <w:tcMar>
              <w:top w:type="dxa" w:w="70"/>
              <w:left w:type="dxa" w:w="100"/>
              <w:bottom w:type="dxa" w:w="70"/>
              <w:right w:type="dxa" w:w="100"/>
            </w:tcMar>
          </w:tcPr>
          <w:p>
            <w:pPr>
              <w:spacing w:after="0"/>
              <w:jc w:val="left"/>
            </w:pPr>
            <w:r>
              <w:rPr>
                <w:rFonts w:ascii="Calibri" w:cs="Calibri" w:eastAsia="Calibri" w:hAnsi="Calibri"/>
                <w:b/>
                <w:bCs/>
                <w:sz w:val="21"/>
                <w:szCs w:val="21"/>
              </w:rPr>
              <w:t xml:space="preserve">O1</w:t>
            </w:r>
          </w:p>
        </w:tc>
        <w:tc>
          <w:tcPr>
            <w:tcW w:type="dxa" w:w="8266"/>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Integrate safety, fishing-zone and maritime-boundary information, currently published as three disconnected products, behind one conversational interface.</w:t>
            </w:r>
          </w:p>
        </w:tc>
      </w:tr>
      <w:tr>
        <w:trPr>
          <w:tblHeader w:val="false"/>
        </w:trPr>
        <w:tc>
          <w:tcPr>
            <w:tcW w:type="dxa" w:w="760"/>
            <w:tcMar>
              <w:top w:type="dxa" w:w="70"/>
              <w:left w:type="dxa" w:w="100"/>
              <w:bottom w:type="dxa" w:w="70"/>
              <w:right w:type="dxa" w:w="100"/>
            </w:tcMar>
          </w:tcPr>
          <w:p>
            <w:pPr>
              <w:spacing w:after="0"/>
              <w:jc w:val="left"/>
            </w:pPr>
            <w:r>
              <w:rPr>
                <w:rFonts w:ascii="Calibri" w:cs="Calibri" w:eastAsia="Calibri" w:hAnsi="Calibri"/>
                <w:b/>
                <w:bCs/>
                <w:sz w:val="21"/>
                <w:szCs w:val="21"/>
              </w:rPr>
              <w:t xml:space="preserve">O2</w:t>
            </w:r>
          </w:p>
        </w:tc>
        <w:tc>
          <w:tcPr>
            <w:tcW w:type="dxa" w:w="8266"/>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Design an architecture in which the safety verdict is produced by deterministic, unit-tested rules, structurally outside the language model's reach.</w:t>
            </w:r>
          </w:p>
        </w:tc>
      </w:tr>
      <w:tr>
        <w:trPr>
          <w:tblHeader w:val="false"/>
        </w:trPr>
        <w:tc>
          <w:tcPr>
            <w:tcW w:type="dxa" w:w="760"/>
            <w:tcMar>
              <w:top w:type="dxa" w:w="70"/>
              <w:left w:type="dxa" w:w="100"/>
              <w:bottom w:type="dxa" w:w="70"/>
              <w:right w:type="dxa" w:w="100"/>
            </w:tcMar>
          </w:tcPr>
          <w:p>
            <w:pPr>
              <w:spacing w:after="0"/>
              <w:jc w:val="left"/>
            </w:pPr>
            <w:r>
              <w:rPr>
                <w:rFonts w:ascii="Calibri" w:cs="Calibri" w:eastAsia="Calibri" w:hAnsi="Calibri"/>
                <w:b/>
                <w:bCs/>
                <w:sz w:val="21"/>
                <w:szCs w:val="21"/>
              </w:rPr>
              <w:t xml:space="preserve">O3</w:t>
            </w:r>
          </w:p>
        </w:tc>
        <w:tc>
          <w:tcPr>
            <w:tcW w:type="dxa" w:w="8266"/>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Build an evidence ledger recording provenance, valid time, spatial distance and staleness for every observation, and a verifier that mechanically removes any generated number absent from it.</w:t>
            </w:r>
          </w:p>
        </w:tc>
      </w:tr>
      <w:tr>
        <w:trPr>
          <w:tblHeader w:val="false"/>
        </w:trPr>
        <w:tc>
          <w:tcPr>
            <w:tcW w:type="dxa" w:w="760"/>
            <w:tcMar>
              <w:top w:type="dxa" w:w="70"/>
              <w:left w:type="dxa" w:w="100"/>
              <w:bottom w:type="dxa" w:w="70"/>
              <w:right w:type="dxa" w:w="100"/>
            </w:tcMar>
          </w:tcPr>
          <w:p>
            <w:pPr>
              <w:spacing w:after="0"/>
              <w:jc w:val="left"/>
            </w:pPr>
            <w:r>
              <w:rPr>
                <w:rFonts w:ascii="Calibri" w:cs="Calibri" w:eastAsia="Calibri" w:hAnsi="Calibri"/>
                <w:b/>
                <w:bCs/>
                <w:sz w:val="21"/>
                <w:szCs w:val="21"/>
              </w:rPr>
              <w:t xml:space="preserve">O4</w:t>
            </w:r>
          </w:p>
        </w:tc>
        <w:tc>
          <w:tcPr>
            <w:tcW w:type="dxa" w:w="8266"/>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Support question-answering in Indian languages end to end, beginning with Tamil and Hindi.</w:t>
            </w:r>
          </w:p>
        </w:tc>
      </w:tr>
      <w:tr>
        <w:trPr>
          <w:tblHeader w:val="false"/>
        </w:trPr>
        <w:tc>
          <w:tcPr>
            <w:tcW w:type="dxa" w:w="760"/>
            <w:tcMar>
              <w:top w:type="dxa" w:w="70"/>
              <w:left w:type="dxa" w:w="100"/>
              <w:bottom w:type="dxa" w:w="70"/>
              <w:right w:type="dxa" w:w="100"/>
            </w:tcMar>
          </w:tcPr>
          <w:p>
            <w:pPr>
              <w:spacing w:after="0"/>
              <w:jc w:val="left"/>
            </w:pPr>
            <w:r>
              <w:rPr>
                <w:rFonts w:ascii="Calibri" w:cs="Calibri" w:eastAsia="Calibri" w:hAnsi="Calibri"/>
                <w:b/>
                <w:bCs/>
                <w:sz w:val="21"/>
                <w:szCs w:val="21"/>
              </w:rPr>
              <w:t xml:space="preserve">O5</w:t>
            </w:r>
          </w:p>
        </w:tc>
        <w:tc>
          <w:tcPr>
            <w:tcW w:type="dxa" w:w="8266"/>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Guarantee a complete, honest answer under source failure through a cache → live → stale-cache → snapshot fallback chain that declares its own degradation.</w:t>
            </w:r>
          </w:p>
        </w:tc>
      </w:tr>
      <w:tr>
        <w:trPr>
          <w:tblHeader w:val="false"/>
        </w:trPr>
        <w:tc>
          <w:tcPr>
            <w:tcW w:type="dxa" w:w="760"/>
            <w:tcMar>
              <w:top w:type="dxa" w:w="70"/>
              <w:left w:type="dxa" w:w="100"/>
              <w:bottom w:type="dxa" w:w="70"/>
              <w:right w:type="dxa" w:w="100"/>
            </w:tcMar>
          </w:tcPr>
          <w:p>
            <w:pPr>
              <w:spacing w:after="0"/>
              <w:jc w:val="left"/>
            </w:pPr>
            <w:r>
              <w:rPr>
                <w:rFonts w:ascii="Calibri" w:cs="Calibri" w:eastAsia="Calibri" w:hAnsi="Calibri"/>
                <w:b/>
                <w:bCs/>
                <w:sz w:val="21"/>
                <w:szCs w:val="21"/>
              </w:rPr>
              <w:t xml:space="preserve">O6</w:t>
            </w:r>
          </w:p>
        </w:tc>
        <w:tc>
          <w:tcPr>
            <w:tcW w:type="dxa" w:w="8266"/>
            <w:tcMar>
              <w:top w:type="dxa" w:w="70"/>
              <w:left w:type="dxa" w:w="100"/>
              <w:bottom w:type="dxa" w:w="70"/>
              <w:right w:type="dxa" w:w="100"/>
            </w:tcMar>
          </w:tcPr>
          <w:p>
            <w:pPr>
              <w:spacing w:after="0"/>
              <w:jc w:val="left"/>
            </w:pPr>
            <w:r>
              <w:rPr>
                <w:rFonts w:ascii="Calibri" w:cs="Calibri" w:eastAsia="Calibri" w:hAnsi="Calibri"/>
                <w:b w:val="false"/>
                <w:bCs w:val="false"/>
                <w:sz w:val="19"/>
                <w:szCs w:val="19"/>
              </w:rPr>
              <w:t xml:space="preserve">Evaluate the system at the level the user acts on — the verdict — using standard warning-verification statistics (POD, FAR, CSI) rather than model-fit metrics alone.</w:t>
            </w:r>
          </w:p>
        </w:tc>
      </w:tr>
    </w:tbl>
    <w:p>
      <w:r>
        <w:br w:type="page"/>
      </w:r>
    </w:p>
    <w:p>
      <w:pPr>
        <w:pStyle w:val="Heading1"/>
        <w:spacing w:after="140" w:before="300"/>
      </w:pPr>
      <w:r>
        <w:rPr>
          <w:rFonts w:ascii="Calibri" w:cs="Calibri" w:eastAsia="Calibri" w:hAnsi="Calibri"/>
        </w:rPr>
        <w:t xml:space="preserve">2.  Literature Review</w:t>
      </w:r>
    </w:p>
    <w:p>
      <w:pPr>
        <w:spacing w:after="130" w:line="276"/>
      </w:pPr>
      <w:r>
        <w:rPr>
          <w:rFonts w:ascii="Calibri" w:cs="Calibri" w:eastAsia="Calibri" w:hAnsi="Calibri"/>
          <w:sz w:val="21"/>
          <w:szCs w:val="21"/>
        </w:rPr>
        <w:t xml:space="preserve">Eight studies were selected from a wider survey of twenty, on two criteria: each bears directly on one component of the system, and preference was given to recent work — half of the eight were published in 2023 or later. They fall into two groups. The first covers the fisherman's three information needs and the systems already built to meet them. The second covers the language-model techniques this work depends on, and their known failure modes.</w:t>
      </w:r>
    </w:p>
    <w:p>
      <w:pPr>
        <w:pStyle w:val="Heading2"/>
        <w:spacing w:after="100" w:before="220"/>
      </w:pPr>
      <w:r>
        <w:rPr>
          <w:rFonts w:ascii="Calibri" w:cs="Calibri" w:eastAsia="Calibri" w:hAnsi="Calibri"/>
        </w:rPr>
        <w:t xml:space="preserve">2.1  Localised marine weather for small-boat fishers</w:t>
      </w:r>
    </w:p>
    <w:p>
      <w:pPr>
        <w:spacing w:after="130" w:line="276"/>
      </w:pPr>
      <w:r>
        <w:rPr>
          <w:rFonts w:ascii="Calibri" w:cs="Calibri" w:eastAsia="Calibri" w:hAnsi="Calibri"/>
          <w:sz w:val="21"/>
          <w:szCs w:val="21"/>
        </w:rPr>
        <w:t xml:space="preserve">Kurup et al. [1] tested whether a localised marine weather service could support safer artisanal fishing on the coast of Kerala. Using the Weather Research and Forecasting (WRF) model downscaled to a 5 km grid, and issuing forecasts for 25 km × 25 km zones, they found three coastal sub-regions with distinct wind regimes, and that such localised forecasts complement the official forecasts, which are issued for large ocean areas. The study establishes that a small-boat decision needs local, not regional, information.</w:t>
      </w:r>
    </w:p>
    <w:p>
      <w:pPr>
        <w:pBdr>
          <w:left w:val="single" w:color="B03A2E" w:sz="12" w:space="10"/>
        </w:pBdr>
        <w:spacing w:after="150" w:before="40" w:line="276"/>
        <w:ind w:left="300"/>
      </w:pPr>
      <w:r>
        <w:rPr>
          <w:rFonts w:ascii="Calibri" w:cs="Calibri" w:eastAsia="Calibri" w:hAnsi="Calibri"/>
          <w:b/>
          <w:bCs/>
          <w:color w:val="8E2B21"/>
          <w:sz w:val="21"/>
          <w:szCs w:val="21"/>
        </w:rPr>
        <w:t xml:space="preserve">Limitation for this problem.  </w:t>
      </w:r>
      <w:r>
        <w:rPr>
          <w:rFonts w:ascii="Calibri" w:cs="Calibri" w:eastAsia="Calibri" w:hAnsi="Calibri"/>
          <w:color w:val="5A2A24"/>
          <w:sz w:val="21"/>
          <w:szCs w:val="21"/>
        </w:rPr>
        <w:t xml:space="preserve">The output is a better forecast — of wind. Turning it, together with waves, visibility and storm risk, into a go / no-go decision for a particular boat is still left to the fisherman.</w:t>
      </w:r>
    </w:p>
    <w:p>
      <w:pPr>
        <w:pStyle w:val="Heading2"/>
        <w:spacing w:after="100" w:before="220"/>
      </w:pPr>
      <w:r>
        <w:rPr>
          <w:rFonts w:ascii="Calibri" w:cs="Calibri" w:eastAsia="Calibri" w:hAnsi="Calibri"/>
        </w:rPr>
        <w:t xml:space="preserve">2.2  Fishing-zone advisories</w:t>
      </w:r>
    </w:p>
    <w:p>
      <w:pPr>
        <w:spacing w:after="130" w:line="276"/>
      </w:pPr>
      <w:r>
        <w:rPr>
          <w:rFonts w:ascii="Calibri" w:cs="Calibri" w:eastAsia="Calibri" w:hAnsi="Calibri"/>
          <w:sz w:val="21"/>
          <w:szCs w:val="21"/>
        </w:rPr>
        <w:t xml:space="preserve">Sarangi et al. [2] generated Potential Fishing Zones for the western Bay of Bengal from six satellite-derived parameters — chlorophyll, sea-surface-temperature fronts, relative winds, current vectors, Ekman transport and eddies — using feature propagation to keep forecasts available under cloud. Validated against Fishery Survey of India catch data for 2016–2018, chlorophyll (food availability) correlated most strongly with catch, followed by fronts and eddies.</w:t>
      </w:r>
    </w:p>
    <w:p>
      <w:pPr>
        <w:pBdr>
          <w:left w:val="single" w:color="B03A2E" w:sz="12" w:space="10"/>
        </w:pBdr>
        <w:spacing w:after="150" w:before="40" w:line="276"/>
        <w:ind w:left="300"/>
      </w:pPr>
      <w:r>
        <w:rPr>
          <w:rFonts w:ascii="Calibri" w:cs="Calibri" w:eastAsia="Calibri" w:hAnsi="Calibri"/>
          <w:b/>
          <w:bCs/>
          <w:color w:val="8E2B21"/>
          <w:sz w:val="21"/>
          <w:szCs w:val="21"/>
        </w:rPr>
        <w:t xml:space="preserve">Limitation for this problem.  </w:t>
      </w:r>
      <w:r>
        <w:rPr>
          <w:rFonts w:ascii="Calibri" w:cs="Calibri" w:eastAsia="Calibri" w:hAnsi="Calibri"/>
          <w:color w:val="5A2A24"/>
          <w:sz w:val="21"/>
          <w:szCs w:val="21"/>
        </w:rPr>
        <w:t xml:space="preserve">The result is a zone map, with no connection to sea safety, to the user's boat, or to the maritime boundary. The study also shows what producing a validated PFZ product properly requires — which is why this work consumes the INCOIS PFZ advisory rather than re-deriving it.</w:t>
      </w:r>
    </w:p>
    <w:p>
      <w:pPr>
        <w:pStyle w:val="Heading2"/>
        <w:spacing w:after="100" w:before="220"/>
      </w:pPr>
      <w:r>
        <w:rPr>
          <w:rFonts w:ascii="Calibri" w:cs="Calibri" w:eastAsia="Calibri" w:hAnsi="Calibri"/>
        </w:rPr>
        <w:t xml:space="preserve">2.3  Decision-support systems already serving Indian fishers</w:t>
      </w:r>
    </w:p>
    <w:p>
      <w:pPr>
        <w:spacing w:after="130" w:line="276"/>
      </w:pPr>
      <w:r>
        <w:rPr>
          <w:rFonts w:ascii="Calibri" w:cs="Calibri" w:eastAsia="Calibri" w:hAnsi="Calibri"/>
          <w:sz w:val="21"/>
          <w:szCs w:val="21"/>
        </w:rPr>
        <w:t xml:space="preserve">Two systems are the closest existing relatives of this work.</w:t>
      </w:r>
    </w:p>
    <w:p>
      <w:pPr>
        <w:spacing w:after="130" w:line="276"/>
      </w:pPr>
      <w:r>
        <w:rPr>
          <w:rFonts w:ascii="Calibri" w:cs="Calibri" w:eastAsia="Calibri" w:hAnsi="Calibri"/>
          <w:b/>
          <w:bCs/>
          <w:sz w:val="21"/>
          <w:szCs w:val="21"/>
        </w:rPr>
        <w:t xml:space="preserve">Thoondil</w:t>
      </w:r>
      <w:r>
        <w:rPr>
          <w:rFonts w:ascii="Calibri" w:cs="Calibri" w:eastAsia="Calibri" w:hAnsi="Calibri"/>
          <w:sz w:val="21"/>
          <w:szCs w:val="21"/>
        </w:rPr>
        <w:t xml:space="preserve"> (Saka et al. [3]) was developed by the National Centre for Coastal Research and put into operation by the Tamil Nadu Department of Fisheries after a series of cyclones. It pairs a web-GIS dashboard for administrators, which tracks fishers at sea and supports two-way communication, with an Android app offering offline maps with routes to the nearest port, weather information, potential fishing zones and incident reporting. It is available in the local language, passed 15,000 downloads within months, and has been extended to Kozhikode in Kerala.</w:t>
      </w:r>
    </w:p>
    <w:p>
      <w:pPr>
        <w:spacing w:after="130" w:line="276"/>
      </w:pPr>
      <w:r>
        <w:rPr>
          <w:rFonts w:ascii="Calibri" w:cs="Calibri" w:eastAsia="Calibri" w:hAnsi="Calibri"/>
          <w:sz w:val="21"/>
          <w:szCs w:val="21"/>
        </w:rPr>
        <w:t xml:space="preserve">The </w:t>
      </w:r>
      <w:r>
        <w:rPr>
          <w:rFonts w:ascii="Calibri" w:cs="Calibri" w:eastAsia="Calibri" w:hAnsi="Calibri"/>
          <w:b/>
          <w:bCs/>
          <w:sz w:val="21"/>
          <w:szCs w:val="21"/>
        </w:rPr>
        <w:t xml:space="preserve">Fisher Friend Mobile Application</w:t>
      </w:r>
      <w:r>
        <w:rPr>
          <w:rFonts w:ascii="Calibri" w:cs="Calibri" w:eastAsia="Calibri" w:hAnsi="Calibri"/>
          <w:sz w:val="21"/>
          <w:szCs w:val="21"/>
        </w:rPr>
        <w:t xml:space="preserve"> (Anabel et al. [4]), developed by the M. S. Swaminathan Research Foundation with INCOIS, is a decision-support system for small-scale fishers that brings together potential fishing zones with GPS navigation, ocean-state forecasts, danger-zone and disaster alerts and market prices in several Indian languages.</w:t>
      </w:r>
    </w:p>
    <w:p>
      <w:pPr>
        <w:spacing w:after="130" w:line="276"/>
      </w:pPr>
      <w:r>
        <w:rPr>
          <w:rFonts w:ascii="Calibri" w:cs="Calibri" w:eastAsia="Calibri" w:hAnsi="Calibri"/>
          <w:sz w:val="21"/>
          <w:szCs w:val="21"/>
        </w:rPr>
        <w:t xml:space="preserve">Together they show that mobile delivery, local language and the combination of weather with fishing zones work in practice, and that a state government will operate such a tool.</w:t>
      </w:r>
    </w:p>
    <w:p>
      <w:pPr>
        <w:pBdr>
          <w:left w:val="single" w:color="B03A2E" w:sz="12" w:space="10"/>
        </w:pBdr>
        <w:spacing w:after="150" w:before="40" w:line="276"/>
        <w:ind w:left="300"/>
      </w:pPr>
      <w:r>
        <w:rPr>
          <w:rFonts w:ascii="Calibri" w:cs="Calibri" w:eastAsia="Calibri" w:hAnsi="Calibri"/>
          <w:b/>
          <w:bCs/>
          <w:color w:val="8E2B21"/>
          <w:sz w:val="21"/>
          <w:szCs w:val="21"/>
        </w:rPr>
        <w:t xml:space="preserve">Limitation for this problem.  </w:t>
      </w:r>
      <w:r>
        <w:rPr>
          <w:rFonts w:ascii="Calibri" w:cs="Calibri" w:eastAsia="Calibri" w:hAnsi="Calibri"/>
          <w:color w:val="5A2A24"/>
          <w:sz w:val="21"/>
          <w:szCs w:val="21"/>
        </w:rPr>
        <w:t xml:space="preserve">Both are menu-and-screen applications: the fisherman navigates categories and combines the layers himself. Neither is described as accepting a free-form question about a specific boat, place and time, issuing a vessel-specific go / no-go verdict, or showing the source of each number it displays.</w:t>
      </w:r>
    </w:p>
    <w:p>
      <w:pPr>
        <w:pStyle w:val="Heading2"/>
        <w:spacing w:after="100" w:before="220"/>
      </w:pPr>
      <w:r>
        <w:rPr>
          <w:rFonts w:ascii="Calibri" w:cs="Calibri" w:eastAsia="Calibri" w:hAnsi="Calibri"/>
        </w:rPr>
        <w:t xml:space="preserve">2.4  The maritime boundary problem</w:t>
      </w:r>
    </w:p>
    <w:p>
      <w:pPr>
        <w:spacing w:after="130" w:line="276"/>
      </w:pPr>
      <w:r>
        <w:rPr>
          <w:rFonts w:ascii="Calibri" w:cs="Calibri" w:eastAsia="Calibri" w:hAnsi="Calibri"/>
          <w:sz w:val="21"/>
          <w:szCs w:val="21"/>
        </w:rPr>
        <w:t xml:space="preserve">Vincent [5] analyses the persistent Palk Bay fishing conflict across the India–Sri Lanka International Maritime Boundary Line and argues that it requires joint Indo–Sri Lankan governance. The study establishes that the boundary problem is recurring and structural rather than incidental.</w:t>
      </w:r>
    </w:p>
    <w:p>
      <w:pPr>
        <w:pBdr>
          <w:left w:val="single" w:color="B03A2E" w:sz="12" w:space="10"/>
        </w:pBdr>
        <w:spacing w:after="150" w:before="40" w:line="276"/>
        <w:ind w:left="300"/>
      </w:pPr>
      <w:r>
        <w:rPr>
          <w:rFonts w:ascii="Calibri" w:cs="Calibri" w:eastAsia="Calibri" w:hAnsi="Calibri"/>
          <w:b/>
          <w:bCs/>
          <w:color w:val="8E2B21"/>
          <w:sz w:val="21"/>
          <w:szCs w:val="21"/>
        </w:rPr>
        <w:t xml:space="preserve">Limitation for this problem.  </w:t>
      </w:r>
      <w:r>
        <w:rPr>
          <w:rFonts w:ascii="Calibri" w:cs="Calibri" w:eastAsia="Calibri" w:hAnsi="Calibri"/>
          <w:color w:val="5A2A24"/>
          <w:sz w:val="21"/>
          <w:szCs w:val="21"/>
        </w:rPr>
        <w:t xml:space="preserve">It is a governance analysis and offers no aid to the individual fisherman. This work does not address the political dispute; it addresses the narrower technical need of knowing how far the boundary is and whether the current heading will cross it.</w:t>
      </w:r>
    </w:p>
    <w:p>
      <w:pPr>
        <w:pStyle w:val="Heading2"/>
        <w:spacing w:after="100" w:before="220"/>
      </w:pPr>
      <w:r>
        <w:rPr>
          <w:rFonts w:ascii="Calibri" w:cs="Calibri" w:eastAsia="Calibri" w:hAnsi="Calibri"/>
        </w:rPr>
        <w:t xml:space="preserve">2.5  Grounding language models in external evidence</w:t>
      </w:r>
    </w:p>
    <w:p>
      <w:pPr>
        <w:spacing w:after="130" w:line="276"/>
      </w:pPr>
      <w:r>
        <w:rPr>
          <w:rFonts w:ascii="Calibri" w:cs="Calibri" w:eastAsia="Calibri" w:hAnsi="Calibri"/>
          <w:sz w:val="21"/>
          <w:szCs w:val="21"/>
        </w:rPr>
        <w:t xml:space="preserve">Retrieval-augmented generation (Lewis et al. [6]) combines a language model's parametric memory with passages retrieved at query time, improving factual question answering and addressing the difficulty language models have in providing provenance and updating their knowledge. This is the principle the system rests on: tomorrow's wave height cannot come from a model's training data and must be fetched when the question is asked.</w:t>
      </w:r>
    </w:p>
    <w:p>
      <w:pPr>
        <w:pBdr>
          <w:left w:val="single" w:color="B03A2E" w:sz="12" w:space="10"/>
        </w:pBdr>
        <w:spacing w:after="150" w:before="40" w:line="276"/>
        <w:ind w:left="300"/>
      </w:pPr>
      <w:r>
        <w:rPr>
          <w:rFonts w:ascii="Calibri" w:cs="Calibri" w:eastAsia="Calibri" w:hAnsi="Calibri"/>
          <w:b/>
          <w:bCs/>
          <w:color w:val="8E2B21"/>
          <w:sz w:val="21"/>
          <w:szCs w:val="21"/>
        </w:rPr>
        <w:t xml:space="preserve">Limitation for this problem.  </w:t>
      </w:r>
      <w:r>
        <w:rPr>
          <w:rFonts w:ascii="Calibri" w:cs="Calibri" w:eastAsia="Calibri" w:hAnsi="Calibri"/>
          <w:color w:val="5A2A24"/>
          <w:sz w:val="21"/>
          <w:szCs w:val="21"/>
        </w:rPr>
        <w:t xml:space="preserve">Retrieval grounds answers in text passages, not live numeric observations, and does not by itself guarantee that every generated claim is supported.</w:t>
      </w:r>
    </w:p>
    <w:p>
      <w:pPr>
        <w:pStyle w:val="Heading2"/>
        <w:spacing w:after="100" w:before="220"/>
      </w:pPr>
      <w:r>
        <w:rPr>
          <w:rFonts w:ascii="Calibri" w:cs="Calibri" w:eastAsia="Calibri" w:hAnsi="Calibri"/>
        </w:rPr>
        <w:t xml:space="preserve">2.6  Hallucination persists despite retrieval</w:t>
      </w:r>
    </w:p>
    <w:p>
      <w:pPr>
        <w:spacing w:after="130" w:line="276"/>
      </w:pPr>
      <w:r>
        <w:rPr>
          <w:rFonts w:ascii="Calibri" w:cs="Calibri" w:eastAsia="Calibri" w:hAnsi="Calibri"/>
          <w:sz w:val="21"/>
          <w:szCs w:val="21"/>
        </w:rPr>
        <w:t xml:space="preserve">RAGTruth (Niu et al. [7]) is a corpus of nearly 18,000 naturally generated responses from a range of language models working in retrieval-augmented settings, manually annotated for hallucination at both case and word level. It benchmarks hallucination rates across models and shows that </w:t>
      </w:r>
      <w:r>
        <w:rPr>
          <w:rFonts w:ascii="Calibri" w:cs="Calibri" w:eastAsia="Calibri" w:hAnsi="Calibri"/>
          <w:b/>
          <w:bCs/>
          <w:sz w:val="21"/>
          <w:szCs w:val="21"/>
        </w:rPr>
        <w:t xml:space="preserve">unsupported content persists even when the correct evidence has been retrieved</w:t>
      </w:r>
      <w:r>
        <w:rPr>
          <w:rFonts w:ascii="Calibri" w:cs="Calibri" w:eastAsia="Calibri" w:hAnsi="Calibri"/>
          <w:sz w:val="21"/>
          <w:szCs w:val="21"/>
        </w:rPr>
        <w:t xml:space="preserve">.</w:t>
      </w:r>
    </w:p>
    <w:p>
      <w:pPr>
        <w:pBdr>
          <w:left w:val="single" w:color="B03A2E" w:sz="12" w:space="10"/>
        </w:pBdr>
        <w:spacing w:after="150" w:before="40" w:line="276"/>
        <w:ind w:left="300"/>
      </w:pPr>
      <w:r>
        <w:rPr>
          <w:rFonts w:ascii="Calibri" w:cs="Calibri" w:eastAsia="Calibri" w:hAnsi="Calibri"/>
          <w:b/>
          <w:bCs/>
          <w:color w:val="8E2B21"/>
          <w:sz w:val="21"/>
          <w:szCs w:val="21"/>
        </w:rPr>
        <w:t xml:space="preserve">Limitation for this problem.  </w:t>
      </w:r>
      <w:r>
        <w:rPr>
          <w:rFonts w:ascii="Calibri" w:cs="Calibri" w:eastAsia="Calibri" w:hAnsi="Calibri"/>
          <w:color w:val="5A2A24"/>
          <w:sz w:val="21"/>
          <w:szCs w:val="21"/>
        </w:rPr>
        <w:t xml:space="preserve">If retrieval does not guarantee faithfulness, a safety decision cannot be delegated to the model. This is the direct justification for the architecture's two research choices: the verdict comes from fixed rules, and every number in the generated answer is checked mechanically against the evidence ledger.</w:t>
      </w:r>
    </w:p>
    <w:p>
      <w:pPr>
        <w:pStyle w:val="Heading2"/>
        <w:spacing w:after="100" w:before="220"/>
      </w:pPr>
      <w:r>
        <w:rPr>
          <w:rFonts w:ascii="Calibri" w:cs="Calibri" w:eastAsia="Calibri" w:hAnsi="Calibri"/>
        </w:rPr>
        <w:t xml:space="preserve">2.7  Indian-language translation</w:t>
      </w:r>
    </w:p>
    <w:p>
      <w:pPr>
        <w:spacing w:after="130" w:line="276"/>
      </w:pPr>
      <w:r>
        <w:rPr>
          <w:rFonts w:ascii="Calibri" w:cs="Calibri" w:eastAsia="Calibri" w:hAnsi="Calibri"/>
          <w:sz w:val="21"/>
          <w:szCs w:val="21"/>
        </w:rPr>
        <w:t xml:space="preserve">IndicTrans2 (Gala et al. [8]) is the first open translation model covering all 22 scheduled Indian languages, released with the Bharat Parallel Corpus Collection (230 M sentence pairs) and the IN22 benchmark.</w:t>
      </w:r>
    </w:p>
    <w:p>
      <w:pPr>
        <w:pBdr>
          <w:left w:val="single" w:color="B03A2E" w:sz="12" w:space="10"/>
        </w:pBdr>
        <w:spacing w:after="150" w:before="40" w:line="276"/>
        <w:ind w:left="300"/>
      </w:pPr>
      <w:r>
        <w:rPr>
          <w:rFonts w:ascii="Calibri" w:cs="Calibri" w:eastAsia="Calibri" w:hAnsi="Calibri"/>
          <w:b/>
          <w:bCs/>
          <w:color w:val="8E2B21"/>
          <w:sz w:val="21"/>
          <w:szCs w:val="21"/>
        </w:rPr>
        <w:t xml:space="preserve">Limitation for this problem.  </w:t>
      </w:r>
      <w:r>
        <w:rPr>
          <w:rFonts w:ascii="Calibri" w:cs="Calibri" w:eastAsia="Calibri" w:hAnsi="Calibri"/>
          <w:color w:val="5A2A24"/>
          <w:sz w:val="21"/>
          <w:szCs w:val="21"/>
        </w:rPr>
        <w:t xml:space="preserve">Translation capability is no longer the bottleneck; no fisher-facing system yet offers conversation through it.</w:t>
      </w:r>
    </w:p>
    <w:p>
      <w:pPr>
        <w:pStyle w:val="Heading2"/>
        <w:spacing w:after="100" w:before="220"/>
      </w:pPr>
      <w:r>
        <w:rPr>
          <w:rFonts w:ascii="Calibri" w:cs="Calibri" w:eastAsia="Calibri" w:hAnsi="Calibri"/>
        </w:rPr>
        <w:t xml:space="preserve">2.8  Summary of reviewed work</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950"/>
        <w:gridCol w:w="930"/>
        <w:gridCol w:w="880"/>
        <w:gridCol w:w="900"/>
        <w:gridCol w:w="900"/>
        <w:gridCol w:w="1060"/>
        <w:gridCol w:w="1060"/>
        <w:gridCol w:w="1020"/>
      </w:tblGrid>
      <w:tr>
        <w:trPr>
          <w:tblHeader/>
        </w:trPr>
        <w:tc>
          <w:tcPr>
            <w:tcW w:type="dxa" w:w="1950"/>
            <w:shd w:fill="DCE6F1" w:color="auto" w:val="clear"/>
            <w:tcMar>
              <w:top w:type="dxa" w:w="70"/>
              <w:left w:type="dxa" w:w="100"/>
              <w:bottom w:type="dxa" w:w="70"/>
              <w:right w:type="dxa" w:w="100"/>
            </w:tcMar>
          </w:tcPr>
          <w:p>
            <w:pPr>
              <w:spacing w:after="0"/>
              <w:jc w:val="center"/>
            </w:pPr>
            <w:r>
              <w:rPr>
                <w:rFonts w:ascii="Calibri" w:cs="Calibri" w:eastAsia="Calibri" w:hAnsi="Calibri"/>
                <w:b/>
                <w:bCs/>
                <w:sz w:val="16"/>
                <w:szCs w:val="16"/>
              </w:rPr>
              <w:t xml:space="preserve">Work</w:t>
            </w:r>
          </w:p>
        </w:tc>
        <w:tc>
          <w:tcPr>
            <w:tcW w:type="dxa" w:w="930"/>
            <w:shd w:fill="DCE6F1" w:color="auto" w:val="clear"/>
            <w:tcMar>
              <w:top w:type="dxa" w:w="70"/>
              <w:left w:type="dxa" w:w="100"/>
              <w:bottom w:type="dxa" w:w="70"/>
              <w:right w:type="dxa" w:w="100"/>
            </w:tcMar>
          </w:tcPr>
          <w:p>
            <w:pPr>
              <w:spacing w:after="0"/>
              <w:jc w:val="center"/>
            </w:pPr>
            <w:r>
              <w:rPr>
                <w:rFonts w:ascii="Calibri" w:cs="Calibri" w:eastAsia="Calibri" w:hAnsi="Calibri"/>
                <w:b/>
                <w:bCs/>
                <w:sz w:val="16"/>
                <w:szCs w:val="16"/>
              </w:rPr>
              <w:t xml:space="preserve">Small-boat safety info</w:t>
            </w:r>
          </w:p>
        </w:tc>
        <w:tc>
          <w:tcPr>
            <w:tcW w:type="dxa" w:w="880"/>
            <w:shd w:fill="DCE6F1" w:color="auto" w:val="clear"/>
            <w:tcMar>
              <w:top w:type="dxa" w:w="70"/>
              <w:left w:type="dxa" w:w="100"/>
              <w:bottom w:type="dxa" w:w="70"/>
              <w:right w:type="dxa" w:w="100"/>
            </w:tcMar>
          </w:tcPr>
          <w:p>
            <w:pPr>
              <w:spacing w:after="0"/>
              <w:jc w:val="center"/>
            </w:pPr>
            <w:r>
              <w:rPr>
                <w:rFonts w:ascii="Calibri" w:cs="Calibri" w:eastAsia="Calibri" w:hAnsi="Calibri"/>
                <w:b/>
                <w:bCs/>
                <w:sz w:val="16"/>
                <w:szCs w:val="16"/>
              </w:rPr>
              <w:t xml:space="preserve">Fishing zones</w:t>
            </w:r>
          </w:p>
        </w:tc>
        <w:tc>
          <w:tcPr>
            <w:tcW w:type="dxa" w:w="900"/>
            <w:shd w:fill="DCE6F1" w:color="auto" w:val="clear"/>
            <w:tcMar>
              <w:top w:type="dxa" w:w="70"/>
              <w:left w:type="dxa" w:w="100"/>
              <w:bottom w:type="dxa" w:w="70"/>
              <w:right w:type="dxa" w:w="100"/>
            </w:tcMar>
          </w:tcPr>
          <w:p>
            <w:pPr>
              <w:spacing w:after="0"/>
              <w:jc w:val="center"/>
            </w:pPr>
            <w:r>
              <w:rPr>
                <w:rFonts w:ascii="Calibri" w:cs="Calibri" w:eastAsia="Calibri" w:hAnsi="Calibri"/>
                <w:b/>
                <w:bCs/>
                <w:sz w:val="16"/>
                <w:szCs w:val="16"/>
              </w:rPr>
              <w:t xml:space="preserve">Border awareness</w:t>
            </w:r>
          </w:p>
        </w:tc>
        <w:tc>
          <w:tcPr>
            <w:tcW w:type="dxa" w:w="900"/>
            <w:shd w:fill="DCE6F1" w:color="auto" w:val="clear"/>
            <w:tcMar>
              <w:top w:type="dxa" w:w="70"/>
              <w:left w:type="dxa" w:w="100"/>
              <w:bottom w:type="dxa" w:w="70"/>
              <w:right w:type="dxa" w:w="100"/>
            </w:tcMar>
          </w:tcPr>
          <w:p>
            <w:pPr>
              <w:spacing w:after="0"/>
              <w:jc w:val="center"/>
            </w:pPr>
            <w:r>
              <w:rPr>
                <w:rFonts w:ascii="Calibri" w:cs="Calibri" w:eastAsia="Calibri" w:hAnsi="Calibri"/>
                <w:b/>
                <w:bCs/>
                <w:sz w:val="16"/>
                <w:szCs w:val="16"/>
              </w:rPr>
              <w:t xml:space="preserve">Indian languages</w:t>
            </w:r>
          </w:p>
        </w:tc>
        <w:tc>
          <w:tcPr>
            <w:tcW w:type="dxa" w:w="1060"/>
            <w:shd w:fill="DCE6F1" w:color="auto" w:val="clear"/>
            <w:tcMar>
              <w:top w:type="dxa" w:w="70"/>
              <w:left w:type="dxa" w:w="100"/>
              <w:bottom w:type="dxa" w:w="70"/>
              <w:right w:type="dxa" w:w="100"/>
            </w:tcMar>
          </w:tcPr>
          <w:p>
            <w:pPr>
              <w:spacing w:after="0"/>
              <w:jc w:val="center"/>
            </w:pPr>
            <w:r>
              <w:rPr>
                <w:rFonts w:ascii="Calibri" w:cs="Calibri" w:eastAsia="Calibri" w:hAnsi="Calibri"/>
                <w:b/>
                <w:bCs/>
                <w:sz w:val="16"/>
                <w:szCs w:val="16"/>
              </w:rPr>
              <w:t xml:space="preserve">Answers a free-form question</w:t>
            </w:r>
          </w:p>
        </w:tc>
        <w:tc>
          <w:tcPr>
            <w:tcW w:type="dxa" w:w="1060"/>
            <w:shd w:fill="DCE6F1" w:color="auto" w:val="clear"/>
            <w:tcMar>
              <w:top w:type="dxa" w:w="70"/>
              <w:left w:type="dxa" w:w="100"/>
              <w:bottom w:type="dxa" w:w="70"/>
              <w:right w:type="dxa" w:w="100"/>
            </w:tcMar>
          </w:tcPr>
          <w:p>
            <w:pPr>
              <w:spacing w:after="0"/>
              <w:jc w:val="center"/>
            </w:pPr>
            <w:r>
              <w:rPr>
                <w:rFonts w:ascii="Calibri" w:cs="Calibri" w:eastAsia="Calibri" w:hAnsi="Calibri"/>
                <w:b/>
                <w:bCs/>
                <w:sz w:val="16"/>
                <w:szCs w:val="16"/>
              </w:rPr>
              <w:t xml:space="preserve">Go / no-go by fixed rules</w:t>
            </w:r>
          </w:p>
        </w:tc>
        <w:tc>
          <w:tcPr>
            <w:tcW w:type="dxa" w:w="1020"/>
            <w:shd w:fill="DCE6F1" w:color="auto" w:val="clear"/>
            <w:tcMar>
              <w:top w:type="dxa" w:w="70"/>
              <w:left w:type="dxa" w:w="100"/>
              <w:bottom w:type="dxa" w:w="70"/>
              <w:right w:type="dxa" w:w="100"/>
            </w:tcMar>
          </w:tcPr>
          <w:p>
            <w:pPr>
              <w:spacing w:after="0"/>
              <w:jc w:val="center"/>
            </w:pPr>
            <w:r>
              <w:rPr>
                <w:rFonts w:ascii="Calibri" w:cs="Calibri" w:eastAsia="Calibri" w:hAnsi="Calibri"/>
                <w:b/>
                <w:bCs/>
                <w:sz w:val="16"/>
                <w:szCs w:val="16"/>
              </w:rPr>
              <w:t xml:space="preserve">Every number verified</w:t>
            </w:r>
          </w:p>
        </w:tc>
      </w:tr>
      <w:tr>
        <w:trPr>
          <w:tblHeader w:val="false"/>
        </w:trPr>
        <w:tc>
          <w:tcPr>
            <w:tcW w:type="dxa" w:w="1950"/>
            <w:tcMar>
              <w:top w:type="dxa" w:w="70"/>
              <w:left w:type="dxa" w:w="100"/>
              <w:bottom w:type="dxa" w:w="70"/>
              <w:right w:type="dxa" w:w="100"/>
            </w:tcMar>
          </w:tcPr>
          <w:p>
            <w:pPr>
              <w:spacing w:after="0"/>
              <w:jc w:val="left"/>
            </w:pPr>
            <w:r>
              <w:rPr>
                <w:rFonts w:ascii="Calibri" w:cs="Calibri" w:eastAsia="Calibri" w:hAnsi="Calibri"/>
                <w:b w:val="false"/>
                <w:bCs w:val="false"/>
                <w:sz w:val="16"/>
                <w:szCs w:val="16"/>
              </w:rPr>
              <w:t xml:space="preserve">Kurup et al. [1]</w:t>
            </w:r>
          </w:p>
        </w:tc>
        <w:tc>
          <w:tcPr>
            <w:tcW w:type="dxa" w:w="930"/>
            <w:tcMar>
              <w:top w:type="dxa" w:w="70"/>
              <w:left w:type="dxa" w:w="100"/>
              <w:bottom w:type="dxa" w:w="70"/>
              <w:right w:type="dxa" w:w="100"/>
            </w:tcMar>
          </w:tcPr>
          <w:p>
            <w:pPr>
              <w:spacing w:after="0"/>
              <w:jc w:val="center"/>
            </w:pPr>
            <w:r>
              <w:rPr>
                <w:rFonts w:ascii="Calibri" w:cs="Calibri" w:eastAsia="Calibri" w:hAnsi="Calibri"/>
                <w:b w:val="false"/>
                <w:bCs w:val="false"/>
                <w:sz w:val="16"/>
                <w:szCs w:val="16"/>
              </w:rPr>
              <w:t xml:space="preserve">✓ (wind)</w:t>
            </w:r>
          </w:p>
        </w:tc>
        <w:tc>
          <w:tcPr>
            <w:tcW w:type="dxa" w:w="880"/>
            <w:tcMar>
              <w:top w:type="dxa" w:w="70"/>
              <w:left w:type="dxa" w:w="100"/>
              <w:bottom w:type="dxa" w:w="70"/>
              <w:right w:type="dxa" w:w="100"/>
            </w:tcMar>
          </w:tcPr>
          <w:p>
            <w:pPr>
              <w:spacing w:after="0"/>
              <w:jc w:val="center"/>
            </w:pPr>
            <w:r>
              <w:rPr>
                <w:rFonts w:ascii="Calibri" w:cs="Calibri" w:eastAsia="Calibri" w:hAnsi="Calibri"/>
                <w:b w:val="false"/>
                <w:bCs w:val="false"/>
                <w:sz w:val="16"/>
                <w:szCs w:val="16"/>
              </w:rPr>
              <w:t xml:space="preserve">✗</w:t>
            </w:r>
          </w:p>
        </w:tc>
        <w:tc>
          <w:tcPr>
            <w:tcW w:type="dxa" w:w="900"/>
            <w:tcMar>
              <w:top w:type="dxa" w:w="70"/>
              <w:left w:type="dxa" w:w="100"/>
              <w:bottom w:type="dxa" w:w="70"/>
              <w:right w:type="dxa" w:w="100"/>
            </w:tcMar>
          </w:tcPr>
          <w:p>
            <w:pPr>
              <w:spacing w:after="0"/>
              <w:jc w:val="center"/>
            </w:pPr>
            <w:r>
              <w:rPr>
                <w:rFonts w:ascii="Calibri" w:cs="Calibri" w:eastAsia="Calibri" w:hAnsi="Calibri"/>
                <w:b w:val="false"/>
                <w:bCs w:val="false"/>
                <w:sz w:val="16"/>
                <w:szCs w:val="16"/>
              </w:rPr>
              <w:t xml:space="preserve">✗</w:t>
            </w:r>
          </w:p>
        </w:tc>
        <w:tc>
          <w:tcPr>
            <w:tcW w:type="dxa" w:w="900"/>
            <w:tcMar>
              <w:top w:type="dxa" w:w="70"/>
              <w:left w:type="dxa" w:w="100"/>
              <w:bottom w:type="dxa" w:w="70"/>
              <w:right w:type="dxa" w:w="100"/>
            </w:tcMar>
          </w:tcPr>
          <w:p>
            <w:pPr>
              <w:spacing w:after="0"/>
              <w:jc w:val="center"/>
            </w:pPr>
            <w:r>
              <w:rPr>
                <w:rFonts w:ascii="Calibri" w:cs="Calibri" w:eastAsia="Calibri" w:hAnsi="Calibri"/>
                <w:b w:val="false"/>
                <w:bCs w:val="false"/>
                <w:sz w:val="16"/>
                <w:szCs w:val="16"/>
              </w:rPr>
              <w:t xml:space="preserve">—</w:t>
            </w:r>
          </w:p>
        </w:tc>
        <w:tc>
          <w:tcPr>
            <w:tcW w:type="dxa" w:w="1060"/>
            <w:tcMar>
              <w:top w:type="dxa" w:w="70"/>
              <w:left w:type="dxa" w:w="100"/>
              <w:bottom w:type="dxa" w:w="70"/>
              <w:right w:type="dxa" w:w="100"/>
            </w:tcMar>
          </w:tcPr>
          <w:p>
            <w:pPr>
              <w:spacing w:after="0"/>
              <w:jc w:val="center"/>
            </w:pPr>
            <w:r>
              <w:rPr>
                <w:rFonts w:ascii="Calibri" w:cs="Calibri" w:eastAsia="Calibri" w:hAnsi="Calibri"/>
                <w:b w:val="false"/>
                <w:bCs w:val="false"/>
                <w:sz w:val="16"/>
                <w:szCs w:val="16"/>
              </w:rPr>
              <w:t xml:space="preserve">✗</w:t>
            </w:r>
          </w:p>
        </w:tc>
        <w:tc>
          <w:tcPr>
            <w:tcW w:type="dxa" w:w="1060"/>
            <w:tcMar>
              <w:top w:type="dxa" w:w="70"/>
              <w:left w:type="dxa" w:w="100"/>
              <w:bottom w:type="dxa" w:w="70"/>
              <w:right w:type="dxa" w:w="100"/>
            </w:tcMar>
          </w:tcPr>
          <w:p>
            <w:pPr>
              <w:spacing w:after="0"/>
              <w:jc w:val="center"/>
            </w:pPr>
            <w:r>
              <w:rPr>
                <w:rFonts w:ascii="Calibri" w:cs="Calibri" w:eastAsia="Calibri" w:hAnsi="Calibri"/>
                <w:b w:val="false"/>
                <w:bCs w:val="false"/>
                <w:sz w:val="16"/>
                <w:szCs w:val="16"/>
              </w:rPr>
              <w:t xml:space="preserve">✗</w:t>
            </w:r>
          </w:p>
        </w:tc>
        <w:tc>
          <w:tcPr>
            <w:tcW w:type="dxa" w:w="1020"/>
            <w:tcMar>
              <w:top w:type="dxa" w:w="70"/>
              <w:left w:type="dxa" w:w="100"/>
              <w:bottom w:type="dxa" w:w="70"/>
              <w:right w:type="dxa" w:w="100"/>
            </w:tcMar>
          </w:tcPr>
          <w:p>
            <w:pPr>
              <w:spacing w:after="0"/>
              <w:jc w:val="center"/>
            </w:pPr>
            <w:r>
              <w:rPr>
                <w:rFonts w:ascii="Calibri" w:cs="Calibri" w:eastAsia="Calibri" w:hAnsi="Calibri"/>
                <w:b w:val="false"/>
                <w:bCs w:val="false"/>
                <w:sz w:val="16"/>
                <w:szCs w:val="16"/>
              </w:rPr>
              <w:t xml:space="preserve">✗</w:t>
            </w:r>
          </w:p>
        </w:tc>
      </w:tr>
      <w:tr>
        <w:trPr>
          <w:tblHeader w:val="false"/>
        </w:trPr>
        <w:tc>
          <w:tcPr>
            <w:tcW w:type="dxa" w:w="1950"/>
            <w:tcMar>
              <w:top w:type="dxa" w:w="70"/>
              <w:left w:type="dxa" w:w="100"/>
              <w:bottom w:type="dxa" w:w="70"/>
              <w:right w:type="dxa" w:w="100"/>
            </w:tcMar>
          </w:tcPr>
          <w:p>
            <w:pPr>
              <w:spacing w:after="0"/>
              <w:jc w:val="left"/>
            </w:pPr>
            <w:r>
              <w:rPr>
                <w:rFonts w:ascii="Calibri" w:cs="Calibri" w:eastAsia="Calibri" w:hAnsi="Calibri"/>
                <w:b w:val="false"/>
                <w:bCs w:val="false"/>
                <w:sz w:val="16"/>
                <w:szCs w:val="16"/>
              </w:rPr>
              <w:t xml:space="preserve">Sarangi et al. [2]</w:t>
            </w:r>
          </w:p>
        </w:tc>
        <w:tc>
          <w:tcPr>
            <w:tcW w:type="dxa" w:w="930"/>
            <w:tcMar>
              <w:top w:type="dxa" w:w="70"/>
              <w:left w:type="dxa" w:w="100"/>
              <w:bottom w:type="dxa" w:w="70"/>
              <w:right w:type="dxa" w:w="100"/>
            </w:tcMar>
          </w:tcPr>
          <w:p>
            <w:pPr>
              <w:spacing w:after="0"/>
              <w:jc w:val="center"/>
            </w:pPr>
            <w:r>
              <w:rPr>
                <w:rFonts w:ascii="Calibri" w:cs="Calibri" w:eastAsia="Calibri" w:hAnsi="Calibri"/>
                <w:b w:val="false"/>
                <w:bCs w:val="false"/>
                <w:sz w:val="16"/>
                <w:szCs w:val="16"/>
              </w:rPr>
              <w:t xml:space="preserve">✗</w:t>
            </w:r>
          </w:p>
        </w:tc>
        <w:tc>
          <w:tcPr>
            <w:tcW w:type="dxa" w:w="880"/>
            <w:tcMar>
              <w:top w:type="dxa" w:w="70"/>
              <w:left w:type="dxa" w:w="100"/>
              <w:bottom w:type="dxa" w:w="70"/>
              <w:right w:type="dxa" w:w="100"/>
            </w:tcMar>
          </w:tcPr>
          <w:p>
            <w:pPr>
              <w:spacing w:after="0"/>
              <w:jc w:val="center"/>
            </w:pPr>
            <w:r>
              <w:rPr>
                <w:rFonts w:ascii="Calibri" w:cs="Calibri" w:eastAsia="Calibri" w:hAnsi="Calibri"/>
                <w:b w:val="false"/>
                <w:bCs w:val="false"/>
                <w:sz w:val="16"/>
                <w:szCs w:val="16"/>
              </w:rPr>
              <w:t xml:space="preserve">✓</w:t>
            </w:r>
          </w:p>
        </w:tc>
        <w:tc>
          <w:tcPr>
            <w:tcW w:type="dxa" w:w="900"/>
            <w:tcMar>
              <w:top w:type="dxa" w:w="70"/>
              <w:left w:type="dxa" w:w="100"/>
              <w:bottom w:type="dxa" w:w="70"/>
              <w:right w:type="dxa" w:w="100"/>
            </w:tcMar>
          </w:tcPr>
          <w:p>
            <w:pPr>
              <w:spacing w:after="0"/>
              <w:jc w:val="center"/>
            </w:pPr>
            <w:r>
              <w:rPr>
                <w:rFonts w:ascii="Calibri" w:cs="Calibri" w:eastAsia="Calibri" w:hAnsi="Calibri"/>
                <w:b w:val="false"/>
                <w:bCs w:val="false"/>
                <w:sz w:val="16"/>
                <w:szCs w:val="16"/>
              </w:rPr>
              <w:t xml:space="preserve">✗</w:t>
            </w:r>
          </w:p>
        </w:tc>
        <w:tc>
          <w:tcPr>
            <w:tcW w:type="dxa" w:w="900"/>
            <w:tcMar>
              <w:top w:type="dxa" w:w="70"/>
              <w:left w:type="dxa" w:w="100"/>
              <w:bottom w:type="dxa" w:w="70"/>
              <w:right w:type="dxa" w:w="100"/>
            </w:tcMar>
          </w:tcPr>
          <w:p>
            <w:pPr>
              <w:spacing w:after="0"/>
              <w:jc w:val="center"/>
            </w:pPr>
            <w:r>
              <w:rPr>
                <w:rFonts w:ascii="Calibri" w:cs="Calibri" w:eastAsia="Calibri" w:hAnsi="Calibri"/>
                <w:b w:val="false"/>
                <w:bCs w:val="false"/>
                <w:sz w:val="16"/>
                <w:szCs w:val="16"/>
              </w:rPr>
              <w:t xml:space="preserve">✗</w:t>
            </w:r>
          </w:p>
        </w:tc>
        <w:tc>
          <w:tcPr>
            <w:tcW w:type="dxa" w:w="1060"/>
            <w:tcMar>
              <w:top w:type="dxa" w:w="70"/>
              <w:left w:type="dxa" w:w="100"/>
              <w:bottom w:type="dxa" w:w="70"/>
              <w:right w:type="dxa" w:w="100"/>
            </w:tcMar>
          </w:tcPr>
          <w:p>
            <w:pPr>
              <w:spacing w:after="0"/>
              <w:jc w:val="center"/>
            </w:pPr>
            <w:r>
              <w:rPr>
                <w:rFonts w:ascii="Calibri" w:cs="Calibri" w:eastAsia="Calibri" w:hAnsi="Calibri"/>
                <w:b w:val="false"/>
                <w:bCs w:val="false"/>
                <w:sz w:val="16"/>
                <w:szCs w:val="16"/>
              </w:rPr>
              <w:t xml:space="preserve">✗</w:t>
            </w:r>
          </w:p>
        </w:tc>
        <w:tc>
          <w:tcPr>
            <w:tcW w:type="dxa" w:w="1060"/>
            <w:tcMar>
              <w:top w:type="dxa" w:w="70"/>
              <w:left w:type="dxa" w:w="100"/>
              <w:bottom w:type="dxa" w:w="70"/>
              <w:right w:type="dxa" w:w="100"/>
            </w:tcMar>
          </w:tcPr>
          <w:p>
            <w:pPr>
              <w:spacing w:after="0"/>
              <w:jc w:val="center"/>
            </w:pPr>
            <w:r>
              <w:rPr>
                <w:rFonts w:ascii="Calibri" w:cs="Calibri" w:eastAsia="Calibri" w:hAnsi="Calibri"/>
                <w:b w:val="false"/>
                <w:bCs w:val="false"/>
                <w:sz w:val="16"/>
                <w:szCs w:val="16"/>
              </w:rPr>
              <w:t xml:space="preserve">✗</w:t>
            </w:r>
          </w:p>
        </w:tc>
        <w:tc>
          <w:tcPr>
            <w:tcW w:type="dxa" w:w="1020"/>
            <w:tcMar>
              <w:top w:type="dxa" w:w="70"/>
              <w:left w:type="dxa" w:w="100"/>
              <w:bottom w:type="dxa" w:w="70"/>
              <w:right w:type="dxa" w:w="100"/>
            </w:tcMar>
          </w:tcPr>
          <w:p>
            <w:pPr>
              <w:spacing w:after="0"/>
              <w:jc w:val="center"/>
            </w:pPr>
            <w:r>
              <w:rPr>
                <w:rFonts w:ascii="Calibri" w:cs="Calibri" w:eastAsia="Calibri" w:hAnsi="Calibri"/>
                <w:b w:val="false"/>
                <w:bCs w:val="false"/>
                <w:sz w:val="16"/>
                <w:szCs w:val="16"/>
              </w:rPr>
              <w:t xml:space="preserve">✗</w:t>
            </w:r>
          </w:p>
        </w:tc>
      </w:tr>
      <w:tr>
        <w:trPr>
          <w:tblHeader w:val="false"/>
        </w:trPr>
        <w:tc>
          <w:tcPr>
            <w:tcW w:type="dxa" w:w="1950"/>
            <w:tcMar>
              <w:top w:type="dxa" w:w="70"/>
              <w:left w:type="dxa" w:w="100"/>
              <w:bottom w:type="dxa" w:w="70"/>
              <w:right w:type="dxa" w:w="100"/>
            </w:tcMar>
          </w:tcPr>
          <w:p>
            <w:pPr>
              <w:spacing w:after="0"/>
              <w:jc w:val="left"/>
            </w:pPr>
            <w:r>
              <w:rPr>
                <w:rFonts w:ascii="Calibri" w:cs="Calibri" w:eastAsia="Calibri" w:hAnsi="Calibri"/>
                <w:b w:val="false"/>
                <w:bCs w:val="false"/>
                <w:sz w:val="16"/>
                <w:szCs w:val="16"/>
              </w:rPr>
              <w:t xml:space="preserve">Thoondil — Saka et al. [3]</w:t>
            </w:r>
          </w:p>
        </w:tc>
        <w:tc>
          <w:tcPr>
            <w:tcW w:type="dxa" w:w="930"/>
            <w:tcMar>
              <w:top w:type="dxa" w:w="70"/>
              <w:left w:type="dxa" w:w="100"/>
              <w:bottom w:type="dxa" w:w="70"/>
              <w:right w:type="dxa" w:w="100"/>
            </w:tcMar>
          </w:tcPr>
          <w:p>
            <w:pPr>
              <w:spacing w:after="0"/>
              <w:jc w:val="center"/>
            </w:pPr>
            <w:r>
              <w:rPr>
                <w:rFonts w:ascii="Calibri" w:cs="Calibri" w:eastAsia="Calibri" w:hAnsi="Calibri"/>
                <w:b w:val="false"/>
                <w:bCs w:val="false"/>
                <w:sz w:val="16"/>
                <w:szCs w:val="16"/>
              </w:rPr>
              <w:t xml:space="preserve">✓</w:t>
            </w:r>
          </w:p>
        </w:tc>
        <w:tc>
          <w:tcPr>
            <w:tcW w:type="dxa" w:w="880"/>
            <w:tcMar>
              <w:top w:type="dxa" w:w="70"/>
              <w:left w:type="dxa" w:w="100"/>
              <w:bottom w:type="dxa" w:w="70"/>
              <w:right w:type="dxa" w:w="100"/>
            </w:tcMar>
          </w:tcPr>
          <w:p>
            <w:pPr>
              <w:spacing w:after="0"/>
              <w:jc w:val="center"/>
            </w:pPr>
            <w:r>
              <w:rPr>
                <w:rFonts w:ascii="Calibri" w:cs="Calibri" w:eastAsia="Calibri" w:hAnsi="Calibri"/>
                <w:b w:val="false"/>
                <w:bCs w:val="false"/>
                <w:sz w:val="16"/>
                <w:szCs w:val="16"/>
              </w:rPr>
              <w:t xml:space="preserve">✓</w:t>
            </w:r>
          </w:p>
        </w:tc>
        <w:tc>
          <w:tcPr>
            <w:tcW w:type="dxa" w:w="900"/>
            <w:tcMar>
              <w:top w:type="dxa" w:w="70"/>
              <w:left w:type="dxa" w:w="100"/>
              <w:bottom w:type="dxa" w:w="70"/>
              <w:right w:type="dxa" w:w="100"/>
            </w:tcMar>
          </w:tcPr>
          <w:p>
            <w:pPr>
              <w:spacing w:after="0"/>
              <w:jc w:val="center"/>
            </w:pPr>
            <w:r>
              <w:rPr>
                <w:rFonts w:ascii="Calibri" w:cs="Calibri" w:eastAsia="Calibri" w:hAnsi="Calibri"/>
                <w:b w:val="false"/>
                <w:bCs w:val="false"/>
                <w:sz w:val="16"/>
                <w:szCs w:val="16"/>
              </w:rPr>
              <w:t xml:space="preserve">—</w:t>
            </w:r>
          </w:p>
        </w:tc>
        <w:tc>
          <w:tcPr>
            <w:tcW w:type="dxa" w:w="900"/>
            <w:tcMar>
              <w:top w:type="dxa" w:w="70"/>
              <w:left w:type="dxa" w:w="100"/>
              <w:bottom w:type="dxa" w:w="70"/>
              <w:right w:type="dxa" w:w="100"/>
            </w:tcMar>
          </w:tcPr>
          <w:p>
            <w:pPr>
              <w:spacing w:after="0"/>
              <w:jc w:val="center"/>
            </w:pPr>
            <w:r>
              <w:rPr>
                <w:rFonts w:ascii="Calibri" w:cs="Calibri" w:eastAsia="Calibri" w:hAnsi="Calibri"/>
                <w:b w:val="false"/>
                <w:bCs w:val="false"/>
                <w:sz w:val="16"/>
                <w:szCs w:val="16"/>
              </w:rPr>
              <w:t xml:space="preserve">✓</w:t>
            </w:r>
          </w:p>
        </w:tc>
        <w:tc>
          <w:tcPr>
            <w:tcW w:type="dxa" w:w="1060"/>
            <w:tcMar>
              <w:top w:type="dxa" w:w="70"/>
              <w:left w:type="dxa" w:w="100"/>
              <w:bottom w:type="dxa" w:w="70"/>
              <w:right w:type="dxa" w:w="100"/>
            </w:tcMar>
          </w:tcPr>
          <w:p>
            <w:pPr>
              <w:spacing w:after="0"/>
              <w:jc w:val="center"/>
            </w:pPr>
            <w:r>
              <w:rPr>
                <w:rFonts w:ascii="Calibri" w:cs="Calibri" w:eastAsia="Calibri" w:hAnsi="Calibri"/>
                <w:b w:val="false"/>
                <w:bCs w:val="false"/>
                <w:sz w:val="16"/>
                <w:szCs w:val="16"/>
              </w:rPr>
              <w:t xml:space="preserve">✗</w:t>
            </w:r>
          </w:p>
        </w:tc>
        <w:tc>
          <w:tcPr>
            <w:tcW w:type="dxa" w:w="1060"/>
            <w:tcMar>
              <w:top w:type="dxa" w:w="70"/>
              <w:left w:type="dxa" w:w="100"/>
              <w:bottom w:type="dxa" w:w="70"/>
              <w:right w:type="dxa" w:w="100"/>
            </w:tcMar>
          </w:tcPr>
          <w:p>
            <w:pPr>
              <w:spacing w:after="0"/>
              <w:jc w:val="center"/>
            </w:pPr>
            <w:r>
              <w:rPr>
                <w:rFonts w:ascii="Calibri" w:cs="Calibri" w:eastAsia="Calibri" w:hAnsi="Calibri"/>
                <w:b w:val="false"/>
                <w:bCs w:val="false"/>
                <w:sz w:val="16"/>
                <w:szCs w:val="16"/>
              </w:rPr>
              <w:t xml:space="preserve">✗</w:t>
            </w:r>
          </w:p>
        </w:tc>
        <w:tc>
          <w:tcPr>
            <w:tcW w:type="dxa" w:w="1020"/>
            <w:tcMar>
              <w:top w:type="dxa" w:w="70"/>
              <w:left w:type="dxa" w:w="100"/>
              <w:bottom w:type="dxa" w:w="70"/>
              <w:right w:type="dxa" w:w="100"/>
            </w:tcMar>
          </w:tcPr>
          <w:p>
            <w:pPr>
              <w:spacing w:after="0"/>
              <w:jc w:val="center"/>
            </w:pPr>
            <w:r>
              <w:rPr>
                <w:rFonts w:ascii="Calibri" w:cs="Calibri" w:eastAsia="Calibri" w:hAnsi="Calibri"/>
                <w:b w:val="false"/>
                <w:bCs w:val="false"/>
                <w:sz w:val="16"/>
                <w:szCs w:val="16"/>
              </w:rPr>
              <w:t xml:space="preserve">✗</w:t>
            </w:r>
          </w:p>
        </w:tc>
      </w:tr>
      <w:tr>
        <w:trPr>
          <w:tblHeader w:val="false"/>
        </w:trPr>
        <w:tc>
          <w:tcPr>
            <w:tcW w:type="dxa" w:w="1950"/>
            <w:tcMar>
              <w:top w:type="dxa" w:w="70"/>
              <w:left w:type="dxa" w:w="100"/>
              <w:bottom w:type="dxa" w:w="70"/>
              <w:right w:type="dxa" w:w="100"/>
            </w:tcMar>
          </w:tcPr>
          <w:p>
            <w:pPr>
              <w:spacing w:after="0"/>
              <w:jc w:val="left"/>
            </w:pPr>
            <w:r>
              <w:rPr>
                <w:rFonts w:ascii="Calibri" w:cs="Calibri" w:eastAsia="Calibri" w:hAnsi="Calibri"/>
                <w:b w:val="false"/>
                <w:bCs w:val="false"/>
                <w:sz w:val="16"/>
                <w:szCs w:val="16"/>
              </w:rPr>
              <w:t xml:space="preserve">Fisher Friend — Anabel et al. [4]</w:t>
            </w:r>
          </w:p>
        </w:tc>
        <w:tc>
          <w:tcPr>
            <w:tcW w:type="dxa" w:w="930"/>
            <w:tcMar>
              <w:top w:type="dxa" w:w="70"/>
              <w:left w:type="dxa" w:w="100"/>
              <w:bottom w:type="dxa" w:w="70"/>
              <w:right w:type="dxa" w:w="100"/>
            </w:tcMar>
          </w:tcPr>
          <w:p>
            <w:pPr>
              <w:spacing w:after="0"/>
              <w:jc w:val="center"/>
            </w:pPr>
            <w:r>
              <w:rPr>
                <w:rFonts w:ascii="Calibri" w:cs="Calibri" w:eastAsia="Calibri" w:hAnsi="Calibri"/>
                <w:b w:val="false"/>
                <w:bCs w:val="false"/>
                <w:sz w:val="16"/>
                <w:szCs w:val="16"/>
              </w:rPr>
              <w:t xml:space="preserve">✓</w:t>
            </w:r>
          </w:p>
        </w:tc>
        <w:tc>
          <w:tcPr>
            <w:tcW w:type="dxa" w:w="880"/>
            <w:tcMar>
              <w:top w:type="dxa" w:w="70"/>
              <w:left w:type="dxa" w:w="100"/>
              <w:bottom w:type="dxa" w:w="70"/>
              <w:right w:type="dxa" w:w="100"/>
            </w:tcMar>
          </w:tcPr>
          <w:p>
            <w:pPr>
              <w:spacing w:after="0"/>
              <w:jc w:val="center"/>
            </w:pPr>
            <w:r>
              <w:rPr>
                <w:rFonts w:ascii="Calibri" w:cs="Calibri" w:eastAsia="Calibri" w:hAnsi="Calibri"/>
                <w:b w:val="false"/>
                <w:bCs w:val="false"/>
                <w:sz w:val="16"/>
                <w:szCs w:val="16"/>
              </w:rPr>
              <w:t xml:space="preserve">✓</w:t>
            </w:r>
          </w:p>
        </w:tc>
        <w:tc>
          <w:tcPr>
            <w:tcW w:type="dxa" w:w="900"/>
            <w:tcMar>
              <w:top w:type="dxa" w:w="70"/>
              <w:left w:type="dxa" w:w="100"/>
              <w:bottom w:type="dxa" w:w="70"/>
              <w:right w:type="dxa" w:w="100"/>
            </w:tcMar>
          </w:tcPr>
          <w:p>
            <w:pPr>
              <w:spacing w:after="0"/>
              <w:jc w:val="center"/>
            </w:pPr>
            <w:r>
              <w:rPr>
                <w:rFonts w:ascii="Calibri" w:cs="Calibri" w:eastAsia="Calibri" w:hAnsi="Calibri"/>
                <w:b w:val="false"/>
                <w:bCs w:val="false"/>
                <w:sz w:val="16"/>
                <w:szCs w:val="16"/>
              </w:rPr>
              <w:t xml:space="preserve">partial</w:t>
            </w:r>
          </w:p>
        </w:tc>
        <w:tc>
          <w:tcPr>
            <w:tcW w:type="dxa" w:w="900"/>
            <w:tcMar>
              <w:top w:type="dxa" w:w="70"/>
              <w:left w:type="dxa" w:w="100"/>
              <w:bottom w:type="dxa" w:w="70"/>
              <w:right w:type="dxa" w:w="100"/>
            </w:tcMar>
          </w:tcPr>
          <w:p>
            <w:pPr>
              <w:spacing w:after="0"/>
              <w:jc w:val="center"/>
            </w:pPr>
            <w:r>
              <w:rPr>
                <w:rFonts w:ascii="Calibri" w:cs="Calibri" w:eastAsia="Calibri" w:hAnsi="Calibri"/>
                <w:b w:val="false"/>
                <w:bCs w:val="false"/>
                <w:sz w:val="16"/>
                <w:szCs w:val="16"/>
              </w:rPr>
              <w:t xml:space="preserve">✓</w:t>
            </w:r>
          </w:p>
        </w:tc>
        <w:tc>
          <w:tcPr>
            <w:tcW w:type="dxa" w:w="1060"/>
            <w:tcMar>
              <w:top w:type="dxa" w:w="70"/>
              <w:left w:type="dxa" w:w="100"/>
              <w:bottom w:type="dxa" w:w="70"/>
              <w:right w:type="dxa" w:w="100"/>
            </w:tcMar>
          </w:tcPr>
          <w:p>
            <w:pPr>
              <w:spacing w:after="0"/>
              <w:jc w:val="center"/>
            </w:pPr>
            <w:r>
              <w:rPr>
                <w:rFonts w:ascii="Calibri" w:cs="Calibri" w:eastAsia="Calibri" w:hAnsi="Calibri"/>
                <w:b w:val="false"/>
                <w:bCs w:val="false"/>
                <w:sz w:val="16"/>
                <w:szCs w:val="16"/>
              </w:rPr>
              <w:t xml:space="preserve">✗</w:t>
            </w:r>
          </w:p>
        </w:tc>
        <w:tc>
          <w:tcPr>
            <w:tcW w:type="dxa" w:w="1060"/>
            <w:tcMar>
              <w:top w:type="dxa" w:w="70"/>
              <w:left w:type="dxa" w:w="100"/>
              <w:bottom w:type="dxa" w:w="70"/>
              <w:right w:type="dxa" w:w="100"/>
            </w:tcMar>
          </w:tcPr>
          <w:p>
            <w:pPr>
              <w:spacing w:after="0"/>
              <w:jc w:val="center"/>
            </w:pPr>
            <w:r>
              <w:rPr>
                <w:rFonts w:ascii="Calibri" w:cs="Calibri" w:eastAsia="Calibri" w:hAnsi="Calibri"/>
                <w:b w:val="false"/>
                <w:bCs w:val="false"/>
                <w:sz w:val="16"/>
                <w:szCs w:val="16"/>
              </w:rPr>
              <w:t xml:space="preserve">✗</w:t>
            </w:r>
          </w:p>
        </w:tc>
        <w:tc>
          <w:tcPr>
            <w:tcW w:type="dxa" w:w="1020"/>
            <w:tcMar>
              <w:top w:type="dxa" w:w="70"/>
              <w:left w:type="dxa" w:w="100"/>
              <w:bottom w:type="dxa" w:w="70"/>
              <w:right w:type="dxa" w:w="100"/>
            </w:tcMar>
          </w:tcPr>
          <w:p>
            <w:pPr>
              <w:spacing w:after="0"/>
              <w:jc w:val="center"/>
            </w:pPr>
            <w:r>
              <w:rPr>
                <w:rFonts w:ascii="Calibri" w:cs="Calibri" w:eastAsia="Calibri" w:hAnsi="Calibri"/>
                <w:b w:val="false"/>
                <w:bCs w:val="false"/>
                <w:sz w:val="16"/>
                <w:szCs w:val="16"/>
              </w:rPr>
              <w:t xml:space="preserve">✗</w:t>
            </w:r>
          </w:p>
        </w:tc>
      </w:tr>
      <w:tr>
        <w:trPr>
          <w:tblHeader w:val="false"/>
        </w:trPr>
        <w:tc>
          <w:tcPr>
            <w:tcW w:type="dxa" w:w="1950"/>
            <w:tcMar>
              <w:top w:type="dxa" w:w="70"/>
              <w:left w:type="dxa" w:w="100"/>
              <w:bottom w:type="dxa" w:w="70"/>
              <w:right w:type="dxa" w:w="100"/>
            </w:tcMar>
          </w:tcPr>
          <w:p>
            <w:pPr>
              <w:spacing w:after="0"/>
              <w:jc w:val="left"/>
            </w:pPr>
            <w:r>
              <w:rPr>
                <w:rFonts w:ascii="Calibri" w:cs="Calibri" w:eastAsia="Calibri" w:hAnsi="Calibri"/>
                <w:b w:val="false"/>
                <w:bCs w:val="false"/>
                <w:sz w:val="16"/>
                <w:szCs w:val="16"/>
              </w:rPr>
              <w:t xml:space="preserve">RAG systems [6], [7]</w:t>
            </w:r>
          </w:p>
        </w:tc>
        <w:tc>
          <w:tcPr>
            <w:tcW w:type="dxa" w:w="930"/>
            <w:tcMar>
              <w:top w:type="dxa" w:w="70"/>
              <w:left w:type="dxa" w:w="100"/>
              <w:bottom w:type="dxa" w:w="70"/>
              <w:right w:type="dxa" w:w="100"/>
            </w:tcMar>
          </w:tcPr>
          <w:p>
            <w:pPr>
              <w:spacing w:after="0"/>
              <w:jc w:val="center"/>
            </w:pPr>
            <w:r>
              <w:rPr>
                <w:rFonts w:ascii="Calibri" w:cs="Calibri" w:eastAsia="Calibri" w:hAnsi="Calibri"/>
                <w:b w:val="false"/>
                <w:bCs w:val="false"/>
                <w:sz w:val="16"/>
                <w:szCs w:val="16"/>
              </w:rPr>
              <w:t xml:space="preserve">✗</w:t>
            </w:r>
          </w:p>
        </w:tc>
        <w:tc>
          <w:tcPr>
            <w:tcW w:type="dxa" w:w="880"/>
            <w:tcMar>
              <w:top w:type="dxa" w:w="70"/>
              <w:left w:type="dxa" w:w="100"/>
              <w:bottom w:type="dxa" w:w="70"/>
              <w:right w:type="dxa" w:w="100"/>
            </w:tcMar>
          </w:tcPr>
          <w:p>
            <w:pPr>
              <w:spacing w:after="0"/>
              <w:jc w:val="center"/>
            </w:pPr>
            <w:r>
              <w:rPr>
                <w:rFonts w:ascii="Calibri" w:cs="Calibri" w:eastAsia="Calibri" w:hAnsi="Calibri"/>
                <w:b w:val="false"/>
                <w:bCs w:val="false"/>
                <w:sz w:val="16"/>
                <w:szCs w:val="16"/>
              </w:rPr>
              <w:t xml:space="preserve">✗</w:t>
            </w:r>
          </w:p>
        </w:tc>
        <w:tc>
          <w:tcPr>
            <w:tcW w:type="dxa" w:w="900"/>
            <w:tcMar>
              <w:top w:type="dxa" w:w="70"/>
              <w:left w:type="dxa" w:w="100"/>
              <w:bottom w:type="dxa" w:w="70"/>
              <w:right w:type="dxa" w:w="100"/>
            </w:tcMar>
          </w:tcPr>
          <w:p>
            <w:pPr>
              <w:spacing w:after="0"/>
              <w:jc w:val="center"/>
            </w:pPr>
            <w:r>
              <w:rPr>
                <w:rFonts w:ascii="Calibri" w:cs="Calibri" w:eastAsia="Calibri" w:hAnsi="Calibri"/>
                <w:b w:val="false"/>
                <w:bCs w:val="false"/>
                <w:sz w:val="16"/>
                <w:szCs w:val="16"/>
              </w:rPr>
              <w:t xml:space="preserve">✗</w:t>
            </w:r>
          </w:p>
        </w:tc>
        <w:tc>
          <w:tcPr>
            <w:tcW w:type="dxa" w:w="900"/>
            <w:tcMar>
              <w:top w:type="dxa" w:w="70"/>
              <w:left w:type="dxa" w:w="100"/>
              <w:bottom w:type="dxa" w:w="70"/>
              <w:right w:type="dxa" w:w="100"/>
            </w:tcMar>
          </w:tcPr>
          <w:p>
            <w:pPr>
              <w:spacing w:after="0"/>
              <w:jc w:val="center"/>
            </w:pPr>
            <w:r>
              <w:rPr>
                <w:rFonts w:ascii="Calibri" w:cs="Calibri" w:eastAsia="Calibri" w:hAnsi="Calibri"/>
                <w:b w:val="false"/>
                <w:bCs w:val="false"/>
                <w:sz w:val="16"/>
                <w:szCs w:val="16"/>
              </w:rPr>
              <w:t xml:space="preserve">partial</w:t>
            </w:r>
          </w:p>
        </w:tc>
        <w:tc>
          <w:tcPr>
            <w:tcW w:type="dxa" w:w="1060"/>
            <w:tcMar>
              <w:top w:type="dxa" w:w="70"/>
              <w:left w:type="dxa" w:w="100"/>
              <w:bottom w:type="dxa" w:w="70"/>
              <w:right w:type="dxa" w:w="100"/>
            </w:tcMar>
          </w:tcPr>
          <w:p>
            <w:pPr>
              <w:spacing w:after="0"/>
              <w:jc w:val="center"/>
            </w:pPr>
            <w:r>
              <w:rPr>
                <w:rFonts w:ascii="Calibri" w:cs="Calibri" w:eastAsia="Calibri" w:hAnsi="Calibri"/>
                <w:b w:val="false"/>
                <w:bCs w:val="false"/>
                <w:sz w:val="16"/>
                <w:szCs w:val="16"/>
              </w:rPr>
              <w:t xml:space="preserve">✓</w:t>
            </w:r>
          </w:p>
        </w:tc>
        <w:tc>
          <w:tcPr>
            <w:tcW w:type="dxa" w:w="1060"/>
            <w:tcMar>
              <w:top w:type="dxa" w:w="70"/>
              <w:left w:type="dxa" w:w="100"/>
              <w:bottom w:type="dxa" w:w="70"/>
              <w:right w:type="dxa" w:w="100"/>
            </w:tcMar>
          </w:tcPr>
          <w:p>
            <w:pPr>
              <w:spacing w:after="0"/>
              <w:jc w:val="center"/>
            </w:pPr>
            <w:r>
              <w:rPr>
                <w:rFonts w:ascii="Calibri" w:cs="Calibri" w:eastAsia="Calibri" w:hAnsi="Calibri"/>
                <w:b w:val="false"/>
                <w:bCs w:val="false"/>
                <w:sz w:val="16"/>
                <w:szCs w:val="16"/>
              </w:rPr>
              <w:t xml:space="preserve">✗</w:t>
            </w:r>
          </w:p>
        </w:tc>
        <w:tc>
          <w:tcPr>
            <w:tcW w:type="dxa" w:w="1020"/>
            <w:tcMar>
              <w:top w:type="dxa" w:w="70"/>
              <w:left w:type="dxa" w:w="100"/>
              <w:bottom w:type="dxa" w:w="70"/>
              <w:right w:type="dxa" w:w="100"/>
            </w:tcMar>
          </w:tcPr>
          <w:p>
            <w:pPr>
              <w:spacing w:after="0"/>
              <w:jc w:val="center"/>
            </w:pPr>
            <w:r>
              <w:rPr>
                <w:rFonts w:ascii="Calibri" w:cs="Calibri" w:eastAsia="Calibri" w:hAnsi="Calibri"/>
                <w:b w:val="false"/>
                <w:bCs w:val="false"/>
                <w:sz w:val="16"/>
                <w:szCs w:val="16"/>
              </w:rPr>
              <w:t xml:space="preserve">✗</w:t>
            </w:r>
          </w:p>
        </w:tc>
      </w:tr>
      <w:tr>
        <w:trPr>
          <w:tblHeader w:val="false"/>
        </w:trPr>
        <w:tc>
          <w:tcPr>
            <w:tcW w:type="dxa" w:w="1950"/>
            <w:tcMar>
              <w:top w:type="dxa" w:w="70"/>
              <w:left w:type="dxa" w:w="100"/>
              <w:bottom w:type="dxa" w:w="70"/>
              <w:right w:type="dxa" w:w="100"/>
            </w:tcMar>
          </w:tcPr>
          <w:p>
            <w:pPr>
              <w:spacing w:after="0"/>
              <w:jc w:val="left"/>
            </w:pPr>
            <w:r>
              <w:rPr>
                <w:rFonts w:ascii="Calibri" w:cs="Calibri" w:eastAsia="Calibri" w:hAnsi="Calibri"/>
                <w:b w:val="false"/>
                <w:bCs w:val="false"/>
                <w:sz w:val="16"/>
                <w:szCs w:val="16"/>
              </w:rPr>
              <w:t xml:space="preserve">IndicTrans2 [8]</w:t>
            </w:r>
          </w:p>
        </w:tc>
        <w:tc>
          <w:tcPr>
            <w:tcW w:type="dxa" w:w="930"/>
            <w:tcMar>
              <w:top w:type="dxa" w:w="70"/>
              <w:left w:type="dxa" w:w="100"/>
              <w:bottom w:type="dxa" w:w="70"/>
              <w:right w:type="dxa" w:w="100"/>
            </w:tcMar>
          </w:tcPr>
          <w:p>
            <w:pPr>
              <w:spacing w:after="0"/>
              <w:jc w:val="center"/>
            </w:pPr>
            <w:r>
              <w:rPr>
                <w:rFonts w:ascii="Calibri" w:cs="Calibri" w:eastAsia="Calibri" w:hAnsi="Calibri"/>
                <w:b w:val="false"/>
                <w:bCs w:val="false"/>
                <w:sz w:val="16"/>
                <w:szCs w:val="16"/>
              </w:rPr>
              <w:t xml:space="preserve">✗</w:t>
            </w:r>
          </w:p>
        </w:tc>
        <w:tc>
          <w:tcPr>
            <w:tcW w:type="dxa" w:w="880"/>
            <w:tcMar>
              <w:top w:type="dxa" w:w="70"/>
              <w:left w:type="dxa" w:w="100"/>
              <w:bottom w:type="dxa" w:w="70"/>
              <w:right w:type="dxa" w:w="100"/>
            </w:tcMar>
          </w:tcPr>
          <w:p>
            <w:pPr>
              <w:spacing w:after="0"/>
              <w:jc w:val="center"/>
            </w:pPr>
            <w:r>
              <w:rPr>
                <w:rFonts w:ascii="Calibri" w:cs="Calibri" w:eastAsia="Calibri" w:hAnsi="Calibri"/>
                <w:b w:val="false"/>
                <w:bCs w:val="false"/>
                <w:sz w:val="16"/>
                <w:szCs w:val="16"/>
              </w:rPr>
              <w:t xml:space="preserve">✗</w:t>
            </w:r>
          </w:p>
        </w:tc>
        <w:tc>
          <w:tcPr>
            <w:tcW w:type="dxa" w:w="900"/>
            <w:tcMar>
              <w:top w:type="dxa" w:w="70"/>
              <w:left w:type="dxa" w:w="100"/>
              <w:bottom w:type="dxa" w:w="70"/>
              <w:right w:type="dxa" w:w="100"/>
            </w:tcMar>
          </w:tcPr>
          <w:p>
            <w:pPr>
              <w:spacing w:after="0"/>
              <w:jc w:val="center"/>
            </w:pPr>
            <w:r>
              <w:rPr>
                <w:rFonts w:ascii="Calibri" w:cs="Calibri" w:eastAsia="Calibri" w:hAnsi="Calibri"/>
                <w:b w:val="false"/>
                <w:bCs w:val="false"/>
                <w:sz w:val="16"/>
                <w:szCs w:val="16"/>
              </w:rPr>
              <w:t xml:space="preserve">✗</w:t>
            </w:r>
          </w:p>
        </w:tc>
        <w:tc>
          <w:tcPr>
            <w:tcW w:type="dxa" w:w="900"/>
            <w:tcMar>
              <w:top w:type="dxa" w:w="70"/>
              <w:left w:type="dxa" w:w="100"/>
              <w:bottom w:type="dxa" w:w="70"/>
              <w:right w:type="dxa" w:w="100"/>
            </w:tcMar>
          </w:tcPr>
          <w:p>
            <w:pPr>
              <w:spacing w:after="0"/>
              <w:jc w:val="center"/>
            </w:pPr>
            <w:r>
              <w:rPr>
                <w:rFonts w:ascii="Calibri" w:cs="Calibri" w:eastAsia="Calibri" w:hAnsi="Calibri"/>
                <w:b w:val="false"/>
                <w:bCs w:val="false"/>
                <w:sz w:val="16"/>
                <w:szCs w:val="16"/>
              </w:rPr>
              <w:t xml:space="preserve">✓</w:t>
            </w:r>
          </w:p>
        </w:tc>
        <w:tc>
          <w:tcPr>
            <w:tcW w:type="dxa" w:w="1060"/>
            <w:tcMar>
              <w:top w:type="dxa" w:w="70"/>
              <w:left w:type="dxa" w:w="100"/>
              <w:bottom w:type="dxa" w:w="70"/>
              <w:right w:type="dxa" w:w="100"/>
            </w:tcMar>
          </w:tcPr>
          <w:p>
            <w:pPr>
              <w:spacing w:after="0"/>
              <w:jc w:val="center"/>
            </w:pPr>
            <w:r>
              <w:rPr>
                <w:rFonts w:ascii="Calibri" w:cs="Calibri" w:eastAsia="Calibri" w:hAnsi="Calibri"/>
                <w:b w:val="false"/>
                <w:bCs w:val="false"/>
                <w:sz w:val="16"/>
                <w:szCs w:val="16"/>
              </w:rPr>
              <w:t xml:space="preserve">✗</w:t>
            </w:r>
          </w:p>
        </w:tc>
        <w:tc>
          <w:tcPr>
            <w:tcW w:type="dxa" w:w="1060"/>
            <w:tcMar>
              <w:top w:type="dxa" w:w="70"/>
              <w:left w:type="dxa" w:w="100"/>
              <w:bottom w:type="dxa" w:w="70"/>
              <w:right w:type="dxa" w:w="100"/>
            </w:tcMar>
          </w:tcPr>
          <w:p>
            <w:pPr>
              <w:spacing w:after="0"/>
              <w:jc w:val="center"/>
            </w:pPr>
            <w:r>
              <w:rPr>
                <w:rFonts w:ascii="Calibri" w:cs="Calibri" w:eastAsia="Calibri" w:hAnsi="Calibri"/>
                <w:b w:val="false"/>
                <w:bCs w:val="false"/>
                <w:sz w:val="16"/>
                <w:szCs w:val="16"/>
              </w:rPr>
              <w:t xml:space="preserve">✗</w:t>
            </w:r>
          </w:p>
        </w:tc>
        <w:tc>
          <w:tcPr>
            <w:tcW w:type="dxa" w:w="1020"/>
            <w:tcMar>
              <w:top w:type="dxa" w:w="70"/>
              <w:left w:type="dxa" w:w="100"/>
              <w:bottom w:type="dxa" w:w="70"/>
              <w:right w:type="dxa" w:w="100"/>
            </w:tcMar>
          </w:tcPr>
          <w:p>
            <w:pPr>
              <w:spacing w:after="0"/>
              <w:jc w:val="center"/>
            </w:pPr>
            <w:r>
              <w:rPr>
                <w:rFonts w:ascii="Calibri" w:cs="Calibri" w:eastAsia="Calibri" w:hAnsi="Calibri"/>
                <w:b w:val="false"/>
                <w:bCs w:val="false"/>
                <w:sz w:val="16"/>
                <w:szCs w:val="16"/>
              </w:rPr>
              <w:t xml:space="preserve">✗</w:t>
            </w:r>
          </w:p>
        </w:tc>
      </w:tr>
      <w:tr>
        <w:trPr>
          <w:tblHeader w:val="false"/>
        </w:trPr>
        <w:tc>
          <w:tcPr>
            <w:tcW w:type="dxa" w:w="1950"/>
            <w:tcMar>
              <w:top w:type="dxa" w:w="70"/>
              <w:left w:type="dxa" w:w="100"/>
              <w:bottom w:type="dxa" w:w="70"/>
              <w:right w:type="dxa" w:w="100"/>
            </w:tcMar>
          </w:tcPr>
          <w:p>
            <w:pPr>
              <w:spacing w:after="0"/>
              <w:jc w:val="left"/>
            </w:pPr>
            <w:r>
              <w:rPr>
                <w:rFonts w:ascii="Calibri" w:cs="Calibri" w:eastAsia="Calibri" w:hAnsi="Calibri"/>
                <w:b/>
                <w:bCs/>
                <w:sz w:val="21"/>
                <w:szCs w:val="21"/>
              </w:rPr>
              <w:t xml:space="preserve">Sagar Setu (proposed)</w:t>
            </w:r>
          </w:p>
        </w:tc>
        <w:tc>
          <w:tcPr>
            <w:tcW w:type="dxa" w:w="930"/>
            <w:tcMar>
              <w:top w:type="dxa" w:w="70"/>
              <w:left w:type="dxa" w:w="100"/>
              <w:bottom w:type="dxa" w:w="70"/>
              <w:right w:type="dxa" w:w="100"/>
            </w:tcMar>
          </w:tcPr>
          <w:p>
            <w:pPr>
              <w:spacing w:after="0"/>
              <w:jc w:val="center"/>
            </w:pPr>
            <w:r>
              <w:rPr>
                <w:rFonts w:ascii="Calibri" w:cs="Calibri" w:eastAsia="Calibri" w:hAnsi="Calibri"/>
                <w:b/>
                <w:bCs/>
                <w:sz w:val="21"/>
                <w:szCs w:val="21"/>
              </w:rPr>
              <w:t xml:space="preserve">✓</w:t>
            </w:r>
          </w:p>
        </w:tc>
        <w:tc>
          <w:tcPr>
            <w:tcW w:type="dxa" w:w="880"/>
            <w:tcMar>
              <w:top w:type="dxa" w:w="70"/>
              <w:left w:type="dxa" w:w="100"/>
              <w:bottom w:type="dxa" w:w="70"/>
              <w:right w:type="dxa" w:w="100"/>
            </w:tcMar>
          </w:tcPr>
          <w:p>
            <w:pPr>
              <w:spacing w:after="0"/>
              <w:jc w:val="center"/>
            </w:pPr>
            <w:r>
              <w:rPr>
                <w:rFonts w:ascii="Calibri" w:cs="Calibri" w:eastAsia="Calibri" w:hAnsi="Calibri"/>
                <w:b/>
                <w:bCs/>
                <w:sz w:val="21"/>
                <w:szCs w:val="21"/>
              </w:rPr>
              <w:t xml:space="preserve">✓</w:t>
            </w:r>
          </w:p>
        </w:tc>
        <w:tc>
          <w:tcPr>
            <w:tcW w:type="dxa" w:w="900"/>
            <w:tcMar>
              <w:top w:type="dxa" w:w="70"/>
              <w:left w:type="dxa" w:w="100"/>
              <w:bottom w:type="dxa" w:w="70"/>
              <w:right w:type="dxa" w:w="100"/>
            </w:tcMar>
          </w:tcPr>
          <w:p>
            <w:pPr>
              <w:spacing w:after="0"/>
              <w:jc w:val="center"/>
            </w:pPr>
            <w:r>
              <w:rPr>
                <w:rFonts w:ascii="Calibri" w:cs="Calibri" w:eastAsia="Calibri" w:hAnsi="Calibri"/>
                <w:b/>
                <w:bCs/>
                <w:sz w:val="21"/>
                <w:szCs w:val="21"/>
              </w:rPr>
              <w:t xml:space="preserve">✓</w:t>
            </w:r>
          </w:p>
        </w:tc>
        <w:tc>
          <w:tcPr>
            <w:tcW w:type="dxa" w:w="900"/>
            <w:tcMar>
              <w:top w:type="dxa" w:w="70"/>
              <w:left w:type="dxa" w:w="100"/>
              <w:bottom w:type="dxa" w:w="70"/>
              <w:right w:type="dxa" w:w="100"/>
            </w:tcMar>
          </w:tcPr>
          <w:p>
            <w:pPr>
              <w:spacing w:after="0"/>
              <w:jc w:val="center"/>
            </w:pPr>
            <w:r>
              <w:rPr>
                <w:rFonts w:ascii="Calibri" w:cs="Calibri" w:eastAsia="Calibri" w:hAnsi="Calibri"/>
                <w:b/>
                <w:bCs/>
                <w:sz w:val="21"/>
                <w:szCs w:val="21"/>
              </w:rPr>
              <w:t xml:space="preserve">✓</w:t>
            </w:r>
          </w:p>
        </w:tc>
        <w:tc>
          <w:tcPr>
            <w:tcW w:type="dxa" w:w="1060"/>
            <w:tcMar>
              <w:top w:type="dxa" w:w="70"/>
              <w:left w:type="dxa" w:w="100"/>
              <w:bottom w:type="dxa" w:w="70"/>
              <w:right w:type="dxa" w:w="100"/>
            </w:tcMar>
          </w:tcPr>
          <w:p>
            <w:pPr>
              <w:spacing w:after="0"/>
              <w:jc w:val="center"/>
            </w:pPr>
            <w:r>
              <w:rPr>
                <w:rFonts w:ascii="Calibri" w:cs="Calibri" w:eastAsia="Calibri" w:hAnsi="Calibri"/>
                <w:b/>
                <w:bCs/>
                <w:sz w:val="21"/>
                <w:szCs w:val="21"/>
              </w:rPr>
              <w:t xml:space="preserve">✓</w:t>
            </w:r>
          </w:p>
        </w:tc>
        <w:tc>
          <w:tcPr>
            <w:tcW w:type="dxa" w:w="1060"/>
            <w:tcMar>
              <w:top w:type="dxa" w:w="70"/>
              <w:left w:type="dxa" w:w="100"/>
              <w:bottom w:type="dxa" w:w="70"/>
              <w:right w:type="dxa" w:w="100"/>
            </w:tcMar>
          </w:tcPr>
          <w:p>
            <w:pPr>
              <w:spacing w:after="0"/>
              <w:jc w:val="center"/>
            </w:pPr>
            <w:r>
              <w:rPr>
                <w:rFonts w:ascii="Calibri" w:cs="Calibri" w:eastAsia="Calibri" w:hAnsi="Calibri"/>
                <w:b/>
                <w:bCs/>
                <w:sz w:val="21"/>
                <w:szCs w:val="21"/>
              </w:rPr>
              <w:t xml:space="preserve">✓</w:t>
            </w:r>
          </w:p>
        </w:tc>
        <w:tc>
          <w:tcPr>
            <w:tcW w:type="dxa" w:w="1020"/>
            <w:tcMar>
              <w:top w:type="dxa" w:w="70"/>
              <w:left w:type="dxa" w:w="100"/>
              <w:bottom w:type="dxa" w:w="70"/>
              <w:right w:type="dxa" w:w="100"/>
            </w:tcMar>
          </w:tcPr>
          <w:p>
            <w:pPr>
              <w:spacing w:after="0"/>
              <w:jc w:val="center"/>
            </w:pPr>
            <w:r>
              <w:rPr>
                <w:rFonts w:ascii="Calibri" w:cs="Calibri" w:eastAsia="Calibri" w:hAnsi="Calibri"/>
                <w:b/>
                <w:bCs/>
                <w:sz w:val="21"/>
                <w:szCs w:val="21"/>
              </w:rPr>
              <w:t xml:space="preserve">✓</w:t>
            </w:r>
          </w:p>
        </w:tc>
      </w:tr>
    </w:tbl>
    <w:p>
      <w:pPr>
        <w:spacing w:after="200"/>
        <w:jc w:val="center"/>
      </w:pPr>
      <w:r>
        <w:rPr>
          <w:rFonts w:ascii="Calibri" w:cs="Calibri" w:eastAsia="Calibri" w:hAnsi="Calibri"/>
          <w:i/>
          <w:iCs/>
          <w:color w:val="555555"/>
          <w:sz w:val="17"/>
          <w:szCs w:val="17"/>
        </w:rPr>
        <w:t xml:space="preserve">Table 1 — ✓ addressed · ✗ not addressed · — not described in the reviewed source. Vincent [5] establishes the boundary problem but proposes no tool, so is not tabulated.</w:t>
      </w:r>
    </w:p>
    <w:p>
      <w:r>
        <w:br w:type="page"/>
      </w:r>
    </w:p>
    <w:p>
      <w:pPr>
        <w:pStyle w:val="Heading1"/>
        <w:spacing w:after="140" w:before="300"/>
      </w:pPr>
      <w:r>
        <w:rPr>
          <w:rFonts w:ascii="Calibri" w:cs="Calibri" w:eastAsia="Calibri" w:hAnsi="Calibri"/>
        </w:rPr>
        <w:t xml:space="preserve">3.  Research Gap</w:t>
      </w:r>
    </w:p>
    <w:p>
      <w:pPr>
        <w:pBdr>
          <w:left w:val="single" w:color="1F3864" w:sz="18" w:space="14"/>
        </w:pBdr>
        <w:spacing w:after="160" w:before="140" w:line="288"/>
        <w:ind w:left="420" w:right="300"/>
      </w:pPr>
      <w:r>
        <w:rPr>
          <w:rFonts w:ascii="Calibri" w:cs="Calibri" w:eastAsia="Calibri" w:hAnsi="Calibri"/>
          <w:b/>
          <w:bCs/>
          <w:sz w:val="21"/>
          <w:szCs w:val="21"/>
        </w:rPr>
        <w:t xml:space="preserve">The reviewed work addresses the parts of the problem separately — localised weather, fishing zones, the boundary, mobile delivery, retrieval-grounded language models. We found no published system that lets a fisherman ask one question in his own language and receive a single operational decision — safety, fishing and border together — that is derived verifiably from official data rather than generated by a model.</w:t>
      </w:r>
    </w:p>
    <w:p>
      <w:pPr>
        <w:spacing w:after="130" w:line="276"/>
      </w:pPr>
      <w:r>
        <w:rPr>
          <w:rFonts w:ascii="Calibri" w:cs="Calibri" w:eastAsia="Calibri" w:hAnsi="Calibri"/>
          <w:sz w:val="21"/>
          <w:szCs w:val="21"/>
        </w:rPr>
        <w:t xml:space="preserve">Six specific gaps follow from the review.</w:t>
      </w:r>
    </w:p>
    <w:p>
      <w:pPr>
        <w:spacing w:after="110" w:line="276"/>
      </w:pPr>
      <w:r>
        <w:rPr>
          <w:rFonts w:ascii="Calibri" w:cs="Calibri" w:eastAsia="Calibri" w:hAnsi="Calibri"/>
          <w:b/>
          <w:bCs/>
          <w:sz w:val="21"/>
          <w:szCs w:val="21"/>
        </w:rPr>
        <w:t xml:space="preserve">G1 — Fragmentation [1]–[5].  </w:t>
      </w:r>
      <w:r>
        <w:rPr>
          <w:rFonts w:ascii="Calibri" w:cs="Calibri" w:eastAsia="Calibri" w:hAnsi="Calibri"/>
          <w:sz w:val="21"/>
          <w:szCs w:val="21"/>
        </w:rPr>
        <w:t xml:space="preserve">Kurup et al. address wind, Sarangi et al. fishing zones, Vincent the boundary. Thoondil and Fisher Friend bundle several of these, but as separate screens that the fisherman must read and combine himself.</w:t>
      </w:r>
    </w:p>
    <w:p>
      <w:pPr>
        <w:spacing w:after="110" w:line="276"/>
      </w:pPr>
      <w:r>
        <w:rPr>
          <w:rFonts w:ascii="Calibri" w:cs="Calibri" w:eastAsia="Calibri" w:hAnsi="Calibri"/>
          <w:b/>
          <w:bCs/>
          <w:sz w:val="21"/>
          <w:szCs w:val="21"/>
        </w:rPr>
        <w:t xml:space="preserve">G2 — Interaction mode [3], [4].  </w:t>
      </w:r>
      <w:r>
        <w:rPr>
          <w:rFonts w:ascii="Calibri" w:cs="Calibri" w:eastAsia="Calibri" w:hAnsi="Calibri"/>
          <w:sz w:val="21"/>
          <w:szCs w:val="21"/>
        </w:rPr>
        <w:t xml:space="preserve">The existing systems are menu-driven. Neither accepts a free-form question carrying the vessel, place, heading and departure time that actually determine the answer.</w:t>
      </w:r>
    </w:p>
    <w:p>
      <w:pPr>
        <w:spacing w:after="110" w:line="276"/>
      </w:pPr>
      <w:r>
        <w:rPr>
          <w:rFonts w:ascii="Calibri" w:cs="Calibri" w:eastAsia="Calibri" w:hAnsi="Calibri"/>
          <w:b/>
          <w:bCs/>
          <w:sz w:val="21"/>
          <w:szCs w:val="21"/>
        </w:rPr>
        <w:t xml:space="preserve">G3 — Language depth [3], [4], [8].  </w:t>
      </w:r>
      <w:r>
        <w:rPr>
          <w:rFonts w:ascii="Calibri" w:cs="Calibri" w:eastAsia="Calibri" w:hAnsi="Calibri"/>
          <w:sz w:val="21"/>
          <w:szCs w:val="21"/>
        </w:rPr>
        <w:t xml:space="preserve">Existing apps offer local-language content. With IndicTrans2 covering 22 languages, the limit is no longer translation but the absence of a conversational fisher system to attach it to.</w:t>
      </w:r>
    </w:p>
    <w:p>
      <w:pPr>
        <w:spacing w:after="110" w:line="276"/>
      </w:pPr>
      <w:r>
        <w:rPr>
          <w:rFonts w:ascii="Calibri" w:cs="Calibri" w:eastAsia="Calibri" w:hAnsi="Calibri"/>
          <w:b/>
          <w:bCs/>
          <w:sz w:val="21"/>
          <w:szCs w:val="21"/>
        </w:rPr>
        <w:t xml:space="preserve">G4 — Verifiability [6], [7].  </w:t>
      </w:r>
      <w:r>
        <w:rPr>
          <w:rFonts w:ascii="Calibri" w:cs="Calibri" w:eastAsia="Calibri" w:hAnsi="Calibri"/>
          <w:sz w:val="21"/>
          <w:szCs w:val="21"/>
        </w:rPr>
        <w:t xml:space="preserve">Retrieval grounds answers in evidence, but RAGTruth shows unsupported content persists even with retrieval. No fisher-facing system shows per-number provenance or checks its numbers mechanically.</w:t>
      </w:r>
    </w:p>
    <w:p>
      <w:pPr>
        <w:spacing w:after="110" w:line="276"/>
      </w:pPr>
      <w:r>
        <w:rPr>
          <w:rFonts w:ascii="Calibri" w:cs="Calibri" w:eastAsia="Calibri" w:hAnsi="Calibri"/>
          <w:b/>
          <w:bCs/>
          <w:sz w:val="21"/>
          <w:szCs w:val="21"/>
        </w:rPr>
        <w:t xml:space="preserve">G5 — Structural safety separation [6], [7].  </w:t>
      </w:r>
      <w:r>
        <w:rPr>
          <w:rFonts w:ascii="Calibri" w:cs="Calibri" w:eastAsia="Calibri" w:hAnsi="Calibri"/>
          <w:sz w:val="21"/>
          <w:szCs w:val="21"/>
        </w:rPr>
        <w:t xml:space="preserve">Given G4, any system that lets a language model generate the safety call inherits its hallucination risk. No reviewed system keeps the go / no-go decision in tested, deterministic rules separate from the model.</w:t>
      </w:r>
    </w:p>
    <w:p>
      <w:pPr>
        <w:spacing w:after="110" w:line="276"/>
      </w:pPr>
      <w:r>
        <w:rPr>
          <w:rFonts w:ascii="Calibri" w:cs="Calibri" w:eastAsia="Calibri" w:hAnsi="Calibri"/>
          <w:b/>
          <w:bCs/>
          <w:sz w:val="21"/>
          <w:szCs w:val="21"/>
        </w:rPr>
        <w:t xml:space="preserve">G6 — Evaluation at the level of action [1], [2].  </w:t>
      </w:r>
      <w:r>
        <w:rPr>
          <w:rFonts w:ascii="Calibri" w:cs="Calibri" w:eastAsia="Calibri" w:hAnsi="Calibri"/>
          <w:sz w:val="21"/>
          <w:szCs w:val="21"/>
        </w:rPr>
        <w:t xml:space="preserve">Kurup et al. validate a forecast and Sarangi et al. validate zones against catch. Neither evaluates a go / no-go decision — the thing a fisherman acts on — with warning statistics such as hit rate and false-alarm ratio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1900"/>
        <w:gridCol w:w="3426"/>
      </w:tblGrid>
      <w:tr>
        <w:trPr>
          <w:tblHeader/>
        </w:trPr>
        <w:tc>
          <w:tcPr>
            <w:tcW w:type="dxa" w:w="3700"/>
            <w:shd w:fill="DCE6F1" w:color="auto" w:val="clear"/>
            <w:tcMar>
              <w:top w:type="dxa" w:w="70"/>
              <w:left w:type="dxa" w:w="100"/>
              <w:bottom w:type="dxa" w:w="70"/>
              <w:right w:type="dxa" w:w="100"/>
            </w:tcMar>
          </w:tcPr>
          <w:p>
            <w:pPr>
              <w:spacing w:after="0"/>
              <w:jc w:val="center"/>
            </w:pPr>
            <w:r>
              <w:rPr>
                <w:rFonts w:ascii="Calibri" w:cs="Calibri" w:eastAsia="Calibri" w:hAnsi="Calibri"/>
                <w:b/>
                <w:bCs/>
                <w:sz w:val="18"/>
                <w:szCs w:val="18"/>
              </w:rPr>
              <w:t xml:space="preserve">Gap</w:t>
            </w:r>
          </w:p>
        </w:tc>
        <w:tc>
          <w:tcPr>
            <w:tcW w:type="dxa" w:w="1900"/>
            <w:shd w:fill="DCE6F1" w:color="auto" w:val="clear"/>
            <w:tcMar>
              <w:top w:type="dxa" w:w="70"/>
              <w:left w:type="dxa" w:w="100"/>
              <w:bottom w:type="dxa" w:w="70"/>
              <w:right w:type="dxa" w:w="100"/>
            </w:tcMar>
          </w:tcPr>
          <w:p>
            <w:pPr>
              <w:spacing w:after="0"/>
              <w:jc w:val="center"/>
            </w:pPr>
            <w:r>
              <w:rPr>
                <w:rFonts w:ascii="Calibri" w:cs="Calibri" w:eastAsia="Calibri" w:hAnsi="Calibri"/>
                <w:b/>
                <w:bCs/>
                <w:sz w:val="18"/>
                <w:szCs w:val="18"/>
              </w:rPr>
              <w:t xml:space="preserve">Evidence</w:t>
            </w:r>
          </w:p>
        </w:tc>
        <w:tc>
          <w:tcPr>
            <w:tcW w:type="dxa" w:w="3426"/>
            <w:shd w:fill="DCE6F1" w:color="auto" w:val="clear"/>
            <w:tcMar>
              <w:top w:type="dxa" w:w="70"/>
              <w:left w:type="dxa" w:w="100"/>
              <w:bottom w:type="dxa" w:w="70"/>
              <w:right w:type="dxa" w:w="100"/>
            </w:tcMar>
          </w:tcPr>
          <w:p>
            <w:pPr>
              <w:spacing w:after="0"/>
              <w:jc w:val="center"/>
            </w:pPr>
            <w:r>
              <w:rPr>
                <w:rFonts w:ascii="Calibri" w:cs="Calibri" w:eastAsia="Calibri" w:hAnsi="Calibri"/>
                <w:b/>
                <w:bCs/>
                <w:sz w:val="18"/>
                <w:szCs w:val="18"/>
              </w:rPr>
              <w:t xml:space="preserve">Objective</w:t>
            </w:r>
          </w:p>
        </w:tc>
      </w:tr>
      <w:tr>
        <w:trPr>
          <w:tblHeader w:val="false"/>
        </w:trPr>
        <w:tc>
          <w:tcPr>
            <w:tcW w:type="dxa" w:w="3700"/>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G1  Fragmentation</w:t>
            </w:r>
          </w:p>
        </w:tc>
        <w:tc>
          <w:tcPr>
            <w:tcW w:type="dxa" w:w="1900"/>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[1]–[5]</w:t>
            </w:r>
          </w:p>
        </w:tc>
        <w:tc>
          <w:tcPr>
            <w:tcW w:type="dxa" w:w="3426"/>
            <w:tcMar>
              <w:top w:type="dxa" w:w="70"/>
              <w:left w:type="dxa" w:w="100"/>
              <w:bottom w:type="dxa" w:w="70"/>
              <w:right w:type="dxa" w:w="100"/>
            </w:tcMar>
          </w:tcPr>
          <w:p>
            <w:pPr>
              <w:spacing w:after="0"/>
              <w:jc w:val="left"/>
            </w:pPr>
            <w:r>
              <w:rPr>
                <w:rFonts w:ascii="Calibri" w:cs="Calibri" w:eastAsia="Calibri" w:hAnsi="Calibri"/>
                <w:b/>
                <w:bCs/>
                <w:sz w:val="21"/>
                <w:szCs w:val="21"/>
              </w:rPr>
              <w:t xml:space="preserve">O1</w:t>
            </w:r>
            <w:r>
              <w:rPr>
                <w:rFonts w:ascii="Calibri" w:cs="Calibri" w:eastAsia="Calibri" w:hAnsi="Calibri"/>
                <w:b w:val="false"/>
                <w:bCs w:val="false"/>
                <w:sz w:val="18"/>
                <w:szCs w:val="18"/>
              </w:rPr>
              <w:t xml:space="preserve">  one conversational interface</w:t>
            </w:r>
          </w:p>
        </w:tc>
      </w:tr>
      <w:tr>
        <w:trPr>
          <w:tblHeader w:val="false"/>
        </w:trPr>
        <w:tc>
          <w:tcPr>
            <w:tcW w:type="dxa" w:w="3700"/>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G2  Broadcast / menu interaction</w:t>
            </w:r>
          </w:p>
        </w:tc>
        <w:tc>
          <w:tcPr>
            <w:tcW w:type="dxa" w:w="1900"/>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[3], [4]</w:t>
            </w:r>
          </w:p>
        </w:tc>
        <w:tc>
          <w:tcPr>
            <w:tcW w:type="dxa" w:w="3426"/>
            <w:tcMar>
              <w:top w:type="dxa" w:w="70"/>
              <w:left w:type="dxa" w:w="100"/>
              <w:bottom w:type="dxa" w:w="70"/>
              <w:right w:type="dxa" w:w="100"/>
            </w:tcMar>
          </w:tcPr>
          <w:p>
            <w:pPr>
              <w:spacing w:after="0"/>
              <w:jc w:val="left"/>
            </w:pPr>
            <w:r>
              <w:rPr>
                <w:rFonts w:ascii="Calibri" w:cs="Calibri" w:eastAsia="Calibri" w:hAnsi="Calibri"/>
                <w:b/>
                <w:bCs/>
                <w:sz w:val="21"/>
                <w:szCs w:val="21"/>
              </w:rPr>
              <w:t xml:space="preserve">O1</w:t>
            </w:r>
            <w:r>
              <w:rPr>
                <w:rFonts w:ascii="Calibri" w:cs="Calibri" w:eastAsia="Calibri" w:hAnsi="Calibri"/>
                <w:b w:val="false"/>
                <w:bCs w:val="false"/>
                <w:sz w:val="18"/>
                <w:szCs w:val="18"/>
              </w:rPr>
              <w:t xml:space="preserve">  one conversational interface</w:t>
            </w:r>
          </w:p>
        </w:tc>
      </w:tr>
      <w:tr>
        <w:trPr>
          <w:tblHeader w:val="false"/>
        </w:trPr>
        <w:tc>
          <w:tcPr>
            <w:tcW w:type="dxa" w:w="3700"/>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G3  Language depth</w:t>
            </w:r>
          </w:p>
        </w:tc>
        <w:tc>
          <w:tcPr>
            <w:tcW w:type="dxa" w:w="1900"/>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[3], [4], [8]</w:t>
            </w:r>
          </w:p>
        </w:tc>
        <w:tc>
          <w:tcPr>
            <w:tcW w:type="dxa" w:w="3426"/>
            <w:tcMar>
              <w:top w:type="dxa" w:w="70"/>
              <w:left w:type="dxa" w:w="100"/>
              <w:bottom w:type="dxa" w:w="70"/>
              <w:right w:type="dxa" w:w="100"/>
            </w:tcMar>
          </w:tcPr>
          <w:p>
            <w:pPr>
              <w:spacing w:after="0"/>
              <w:jc w:val="left"/>
            </w:pPr>
            <w:r>
              <w:rPr>
                <w:rFonts w:ascii="Calibri" w:cs="Calibri" w:eastAsia="Calibri" w:hAnsi="Calibri"/>
                <w:b/>
                <w:bCs/>
                <w:sz w:val="21"/>
                <w:szCs w:val="21"/>
              </w:rPr>
              <w:t xml:space="preserve">O4</w:t>
            </w:r>
            <w:r>
              <w:rPr>
                <w:rFonts w:ascii="Calibri" w:cs="Calibri" w:eastAsia="Calibri" w:hAnsi="Calibri"/>
                <w:b w:val="false"/>
                <w:bCs w:val="false"/>
                <w:sz w:val="18"/>
                <w:szCs w:val="18"/>
              </w:rPr>
              <w:t xml:space="preserve">  Indian-language Q&amp;A</w:t>
            </w:r>
          </w:p>
        </w:tc>
      </w:tr>
      <w:tr>
        <w:trPr>
          <w:tblHeader w:val="false"/>
        </w:trPr>
        <w:tc>
          <w:tcPr>
            <w:tcW w:type="dxa" w:w="3700"/>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G4  Verifiability</w:t>
            </w:r>
          </w:p>
        </w:tc>
        <w:tc>
          <w:tcPr>
            <w:tcW w:type="dxa" w:w="1900"/>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[6], [7]</w:t>
            </w:r>
          </w:p>
        </w:tc>
        <w:tc>
          <w:tcPr>
            <w:tcW w:type="dxa" w:w="3426"/>
            <w:tcMar>
              <w:top w:type="dxa" w:w="70"/>
              <w:left w:type="dxa" w:w="100"/>
              <w:bottom w:type="dxa" w:w="70"/>
              <w:right w:type="dxa" w:w="100"/>
            </w:tcMar>
          </w:tcPr>
          <w:p>
            <w:pPr>
              <w:spacing w:after="0"/>
              <w:jc w:val="left"/>
            </w:pPr>
            <w:r>
              <w:rPr>
                <w:rFonts w:ascii="Calibri" w:cs="Calibri" w:eastAsia="Calibri" w:hAnsi="Calibri"/>
                <w:b/>
                <w:bCs/>
                <w:sz w:val="21"/>
                <w:szCs w:val="21"/>
              </w:rPr>
              <w:t xml:space="preserve">O3</w:t>
            </w:r>
            <w:r>
              <w:rPr>
                <w:rFonts w:ascii="Calibri" w:cs="Calibri" w:eastAsia="Calibri" w:hAnsi="Calibri"/>
                <w:b w:val="false"/>
                <w:bCs w:val="false"/>
                <w:sz w:val="18"/>
                <w:szCs w:val="18"/>
              </w:rPr>
              <w:t xml:space="preserve">  evidence ledger + verifier</w:t>
            </w:r>
          </w:p>
        </w:tc>
      </w:tr>
      <w:tr>
        <w:trPr>
          <w:tblHeader w:val="false"/>
        </w:trPr>
        <w:tc>
          <w:tcPr>
            <w:tcW w:type="dxa" w:w="3700"/>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G5  Safety separation</w:t>
            </w:r>
          </w:p>
        </w:tc>
        <w:tc>
          <w:tcPr>
            <w:tcW w:type="dxa" w:w="1900"/>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[6], [7]</w:t>
            </w:r>
          </w:p>
        </w:tc>
        <w:tc>
          <w:tcPr>
            <w:tcW w:type="dxa" w:w="3426"/>
            <w:tcMar>
              <w:top w:type="dxa" w:w="70"/>
              <w:left w:type="dxa" w:w="100"/>
              <w:bottom w:type="dxa" w:w="70"/>
              <w:right w:type="dxa" w:w="100"/>
            </w:tcMar>
          </w:tcPr>
          <w:p>
            <w:pPr>
              <w:spacing w:after="0"/>
              <w:jc w:val="left"/>
            </w:pPr>
            <w:r>
              <w:rPr>
                <w:rFonts w:ascii="Calibri" w:cs="Calibri" w:eastAsia="Calibri" w:hAnsi="Calibri"/>
                <w:b/>
                <w:bCs/>
                <w:sz w:val="21"/>
                <w:szCs w:val="21"/>
              </w:rPr>
              <w:t xml:space="preserve">O2</w:t>
            </w:r>
            <w:r>
              <w:rPr>
                <w:rFonts w:ascii="Calibri" w:cs="Calibri" w:eastAsia="Calibri" w:hAnsi="Calibri"/>
                <w:b w:val="false"/>
                <w:bCs w:val="false"/>
                <w:sz w:val="18"/>
                <w:szCs w:val="18"/>
              </w:rPr>
              <w:t xml:space="preserve">  deterministic safety verdict</w:t>
            </w:r>
          </w:p>
        </w:tc>
      </w:tr>
      <w:tr>
        <w:trPr>
          <w:tblHeader w:val="false"/>
        </w:trPr>
        <w:tc>
          <w:tcPr>
            <w:tcW w:type="dxa" w:w="3700"/>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G6  Evaluation stops at the forecast</w:t>
            </w:r>
          </w:p>
        </w:tc>
        <w:tc>
          <w:tcPr>
            <w:tcW w:type="dxa" w:w="1900"/>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[1], [2]</w:t>
            </w:r>
          </w:p>
        </w:tc>
        <w:tc>
          <w:tcPr>
            <w:tcW w:type="dxa" w:w="3426"/>
            <w:tcMar>
              <w:top w:type="dxa" w:w="70"/>
              <w:left w:type="dxa" w:w="100"/>
              <w:bottom w:type="dxa" w:w="70"/>
              <w:right w:type="dxa" w:w="100"/>
            </w:tcMar>
          </w:tcPr>
          <w:p>
            <w:pPr>
              <w:spacing w:after="0"/>
              <w:jc w:val="left"/>
            </w:pPr>
            <w:r>
              <w:rPr>
                <w:rFonts w:ascii="Calibri" w:cs="Calibri" w:eastAsia="Calibri" w:hAnsi="Calibri"/>
                <w:b/>
                <w:bCs/>
                <w:sz w:val="21"/>
                <w:szCs w:val="21"/>
              </w:rPr>
              <w:t xml:space="preserve">O6</w:t>
            </w:r>
            <w:r>
              <w:rPr>
                <w:rFonts w:ascii="Calibri" w:cs="Calibri" w:eastAsia="Calibri" w:hAnsi="Calibri"/>
                <w:b w:val="false"/>
                <w:bCs w:val="false"/>
                <w:sz w:val="18"/>
                <w:szCs w:val="18"/>
              </w:rPr>
              <w:t xml:space="preserve">  verdict-level evaluation</w:t>
            </w:r>
          </w:p>
        </w:tc>
      </w:tr>
      <w:tr>
        <w:trPr>
          <w:tblHeader w:val="false"/>
        </w:trPr>
        <w:tc>
          <w:tcPr>
            <w:tcW w:type="dxa" w:w="3700"/>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Constraint: unreliable connectivity at sea (Thoondil ships offline maps for this reason)</w:t>
            </w:r>
          </w:p>
        </w:tc>
        <w:tc>
          <w:tcPr>
            <w:tcW w:type="dxa" w:w="1900"/>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[3]</w:t>
            </w:r>
          </w:p>
        </w:tc>
        <w:tc>
          <w:tcPr>
            <w:tcW w:type="dxa" w:w="3426"/>
            <w:tcMar>
              <w:top w:type="dxa" w:w="70"/>
              <w:left w:type="dxa" w:w="100"/>
              <w:bottom w:type="dxa" w:w="70"/>
              <w:right w:type="dxa" w:w="100"/>
            </w:tcMar>
          </w:tcPr>
          <w:p>
            <w:pPr>
              <w:spacing w:after="0"/>
              <w:jc w:val="left"/>
            </w:pPr>
            <w:r>
              <w:rPr>
                <w:rFonts w:ascii="Calibri" w:cs="Calibri" w:eastAsia="Calibri" w:hAnsi="Calibri"/>
                <w:b/>
                <w:bCs/>
                <w:sz w:val="21"/>
                <w:szCs w:val="21"/>
              </w:rPr>
              <w:t xml:space="preserve">O5</w:t>
            </w:r>
            <w:r>
              <w:rPr>
                <w:rFonts w:ascii="Calibri" w:cs="Calibri" w:eastAsia="Calibri" w:hAnsi="Calibri"/>
                <w:b w:val="false"/>
                <w:bCs w:val="false"/>
                <w:sz w:val="18"/>
                <w:szCs w:val="18"/>
              </w:rPr>
              <w:t xml:space="preserve">  honest degradation</w:t>
            </w:r>
          </w:p>
        </w:tc>
      </w:tr>
    </w:tbl>
    <w:p>
      <w:pPr>
        <w:pStyle w:val="Heading1"/>
        <w:spacing w:after="140" w:before="300"/>
      </w:pPr>
      <w:r>
        <w:rPr>
          <w:rFonts w:ascii="Calibri" w:cs="Calibri" w:eastAsia="Calibri" w:hAnsi="Calibri"/>
        </w:rPr>
        <w:t xml:space="preserve">4.  Proposed Methodology</w:t>
      </w:r>
    </w:p>
    <w:p>
      <w:pPr>
        <w:pStyle w:val="Heading2"/>
        <w:spacing w:after="100" w:before="220"/>
      </w:pPr>
      <w:r>
        <w:rPr>
          <w:rFonts w:ascii="Calibri" w:cs="Calibri" w:eastAsia="Calibri" w:hAnsi="Calibri"/>
        </w:rPr>
        <w:t xml:space="preserve">4.1  Architecture</w:t>
      </w:r>
    </w:p>
    <w:p>
      <w:pPr>
        <w:spacing w:after="130" w:line="276"/>
      </w:pPr>
      <w:r>
        <w:rPr>
          <w:rFonts w:ascii="Calibri" w:cs="Calibri" w:eastAsia="Calibri" w:hAnsi="Calibri"/>
          <w:sz w:val="21"/>
          <w:szCs w:val="21"/>
        </w:rPr>
        <w:t xml:space="preserve">Five stages, with the language model deliberately confined to the first, second and fourth.</w:t>
      </w:r>
    </w:p>
    <w:p>
      <w:pPr>
        <w:spacing w:after="90" w:before="130"/>
        <w:jc w:val="center"/>
      </w:pPr>
      <w:r>
        <w:drawing>
          <wp:inline distT="0" distB="0" distL="0" distR="0">
            <wp:extent cx="5762625" cy="628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6286500"/>
                    </a:xfrm>
                    <a:prstGeom prst="rect">
                      <a:avLst/>
                    </a:prstGeom>
                  </pic:spPr>
                </pic:pic>
              </a:graphicData>
            </a:graphic>
          </wp:inline>
        </w:drawing>
      </w:r>
    </w:p>
    <w:p>
      <w:pPr>
        <w:spacing w:after="200"/>
        <w:jc w:val="center"/>
      </w:pPr>
      <w:r>
        <w:rPr>
          <w:rFonts w:ascii="Calibri" w:cs="Calibri" w:eastAsia="Calibri" w:hAnsi="Calibri"/>
          <w:i/>
          <w:iCs/>
          <w:color w:val="555555"/>
          <w:sz w:val="17"/>
          <w:szCs w:val="17"/>
        </w:rPr>
        <w:t xml:space="preserve">Figure 1 — system architecture. The red line is the design's load-bearing constraint.</w:t>
      </w:r>
    </w:p>
    <w:p>
      <w:pPr>
        <w:pStyle w:val="Heading2"/>
        <w:spacing w:after="100" w:before="220"/>
      </w:pPr>
      <w:r>
        <w:rPr>
          <w:rFonts w:ascii="Calibri" w:cs="Calibri" w:eastAsia="Calibri" w:hAnsi="Calibri"/>
        </w:rPr>
        <w:t xml:space="preserve">4.2  The evidence ledger</w:t>
      </w:r>
    </w:p>
    <w:p>
      <w:pPr>
        <w:spacing w:after="130" w:line="276"/>
      </w:pPr>
      <w:r>
        <w:rPr>
          <w:rFonts w:ascii="Calibri" w:cs="Calibri" w:eastAsia="Calibri" w:hAnsi="Calibri"/>
          <w:sz w:val="21"/>
          <w:szCs w:val="21"/>
        </w:rPr>
        <w:t xml:space="preserve">No tool returns a bare float. Every value is an Observation:</w:t>
      </w:r>
    </w:p>
    <w:p>
      <w:pPr>
        <w:shd w:fill="F4F4F2" w:color="auto" w:val="clear"/>
        <w:spacing w:after="150" w:before="120"/>
        <w:ind w:left="240"/>
      </w:pPr>
      <w:r>
        <w:rPr>
          <w:rFonts w:ascii="Consolas" w:cs="Consolas" w:eastAsia="Consolas" w:hAnsi="Consolas"/>
          <w:sz w:val="17"/>
          <w:szCs w:val="17"/>
        </w:rPr>
        <w:t xml:space="preserve">class Observation(BaseModel):</w:t>
      </w:r>
      <w:r>
        <w:br/>
      </w:r>
      <w:r>
        <w:rPr>
          <w:rFonts w:ascii="Consolas" w:cs="Consolas" w:eastAsia="Consolas" w:hAnsi="Consolas"/>
          <w:sz w:val="17"/>
          <w:szCs w:val="17"/>
        </w:rPr>
        <w:t xml:space="preserve">    variable: str        # "significant_wave_height"</w:t>
      </w:r>
      <w:r>
        <w:br/>
      </w:r>
      <w:r>
        <w:rPr>
          <w:rFonts w:ascii="Consolas" w:cs="Consolas" w:eastAsia="Consolas" w:hAnsi="Consolas"/>
          <w:sz w:val="17"/>
          <w:szCs w:val="17"/>
        </w:rPr>
        <w:t xml:space="preserve">    value: float</w:t>
      </w:r>
      <w:r>
        <w:br/>
      </w:r>
      <w:r>
        <w:rPr>
          <w:rFonts w:ascii="Consolas" w:cs="Consolas" w:eastAsia="Consolas" w:hAnsi="Consolas"/>
          <w:sz w:val="17"/>
          <w:szCs w:val="17"/>
        </w:rPr>
        <w:t xml:space="preserve">    unit: str            # "m"</w:t>
      </w:r>
      <w:r>
        <w:br/>
      </w:r>
      <w:r>
        <w:rPr>
          <w:rFonts w:ascii="Consolas" w:cs="Consolas" w:eastAsia="Consolas" w:hAnsi="Consolas"/>
          <w:sz w:val="17"/>
          <w:szCs w:val="17"/>
        </w:rPr>
        <w:t xml:space="preserve">    source: str          # "open_meteo/mfwam"</w:t>
      </w:r>
      <w:r>
        <w:br/>
      </w:r>
      <w:r>
        <w:rPr>
          <w:rFonts w:ascii="Consolas" w:cs="Consolas" w:eastAsia="Consolas" w:hAnsi="Consolas"/>
          <w:sz w:val="17"/>
          <w:szCs w:val="17"/>
        </w:rPr>
        <w:t xml:space="preserve">    valid_time: datetime # what the value is FOR</w:t>
      </w:r>
      <w:r>
        <w:br/>
      </w:r>
      <w:r>
        <w:rPr>
          <w:rFonts w:ascii="Consolas" w:cs="Consolas" w:eastAsia="Consolas" w:hAnsi="Consolas"/>
          <w:sz w:val="17"/>
          <w:szCs w:val="17"/>
        </w:rPr>
        <w:t xml:space="preserve">    fetched_at: datetime # when we got it</w:t>
      </w:r>
      <w:r>
        <w:br/>
      </w:r>
      <w:r>
        <w:rPr>
          <w:rFonts w:ascii="Consolas" w:cs="Consolas" w:eastAsia="Consolas" w:hAnsi="Consolas"/>
          <w:sz w:val="17"/>
          <w:szCs w:val="17"/>
        </w:rPr>
        <w:t xml:space="preserve">    distance_km: float   # query point to nearest grid node</w:t>
      </w:r>
      <w:r>
        <w:br/>
      </w:r>
      <w:r>
        <w:rPr>
          <w:rFonts w:ascii="Consolas" w:cs="Consolas" w:eastAsia="Consolas" w:hAnsi="Consolas"/>
          <w:sz w:val="17"/>
          <w:szCs w:val="17"/>
        </w:rPr>
        <w:t xml:space="preserve">    confidence: float    # lowered when we fall down the source chain</w:t>
      </w:r>
      <w:r>
        <w:br/>
      </w:r>
      <w:r>
        <w:rPr>
          <w:rFonts w:ascii="Consolas" w:cs="Consolas" w:eastAsia="Consolas" w:hAnsi="Consolas"/>
          <w:sz w:val="17"/>
          <w:szCs w:val="17"/>
        </w:rPr>
        <w:t xml:space="preserve">    note: str | None     # "served from snapshot, network unavailable"</w:t>
      </w:r>
    </w:p>
    <w:p>
      <w:pPr>
        <w:spacing w:after="130" w:line="276"/>
      </w:pPr>
      <w:r>
        <w:rPr>
          <w:rFonts w:ascii="Calibri" w:cs="Calibri" w:eastAsia="Calibri" w:hAnsi="Calibri"/>
          <w:sz w:val="21"/>
          <w:szCs w:val="21"/>
        </w:rPr>
        <w:t xml:space="preserve">A typical briefing records about 130 observations. The ledger is rendered in the interface beneath every answer, with staleness shown prominently — a six-hour-old forecast and a six-minute-old one must not look alike on screen.</w:t>
      </w:r>
    </w:p>
    <w:p>
      <w:pPr>
        <w:pStyle w:val="Heading2"/>
        <w:spacing w:after="100" w:before="220"/>
      </w:pPr>
      <w:r>
        <w:rPr>
          <w:rFonts w:ascii="Calibri" w:cs="Calibri" w:eastAsia="Calibri" w:hAnsi="Calibri"/>
        </w:rPr>
        <w:t xml:space="preserve">4.3  The deterministic risk engine</w:t>
      </w:r>
    </w:p>
    <w:p>
      <w:pPr>
        <w:spacing w:after="130" w:line="276"/>
      </w:pPr>
      <w:r>
        <w:rPr>
          <w:rFonts w:ascii="Calibri" w:cs="Calibri" w:eastAsia="Calibri" w:hAnsi="Calibri"/>
          <w:sz w:val="21"/>
          <w:szCs w:val="21"/>
        </w:rPr>
        <w:t xml:space="preserve">Seven parameters, three vessel classes (traditional &lt; 12 m, motorised 12–20 m, mechanised &gt; 20 m), evaluated as a pure function in under 50 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0"/>
        <w:gridCol w:w="1600"/>
        <w:gridCol w:w="2300"/>
        <w:gridCol w:w="2376"/>
      </w:tblGrid>
      <w:tr>
        <w:trPr>
          <w:tblHeader/>
        </w:trPr>
        <w:tc>
          <w:tcPr>
            <w:tcW w:type="dxa" w:w="2750"/>
            <w:shd w:fill="DCE6F1" w:color="auto" w:val="clear"/>
            <w:tcMar>
              <w:top w:type="dxa" w:w="70"/>
              <w:left w:type="dxa" w:w="100"/>
              <w:bottom w:type="dxa" w:w="70"/>
              <w:right w:type="dxa" w:w="100"/>
            </w:tcMar>
          </w:tcPr>
          <w:p>
            <w:pPr>
              <w:spacing w:after="0"/>
              <w:jc w:val="center"/>
            </w:pPr>
            <w:r>
              <w:rPr>
                <w:rFonts w:ascii="Calibri" w:cs="Calibri" w:eastAsia="Calibri" w:hAnsi="Calibri"/>
                <w:b/>
                <w:bCs/>
                <w:sz w:val="18"/>
                <w:szCs w:val="18"/>
              </w:rPr>
              <w:t xml:space="preserve">Parameter</w:t>
            </w:r>
          </w:p>
        </w:tc>
        <w:tc>
          <w:tcPr>
            <w:tcW w:type="dxa" w:w="1600"/>
            <w:shd w:fill="DCE6F1" w:color="auto" w:val="clear"/>
            <w:tcMar>
              <w:top w:type="dxa" w:w="70"/>
              <w:left w:type="dxa" w:w="100"/>
              <w:bottom w:type="dxa" w:w="70"/>
              <w:right w:type="dxa" w:w="100"/>
            </w:tcMar>
          </w:tcPr>
          <w:p>
            <w:pPr>
              <w:spacing w:after="0"/>
              <w:jc w:val="center"/>
            </w:pPr>
            <w:r>
              <w:rPr>
                <w:rFonts w:ascii="Calibri" w:cs="Calibri" w:eastAsia="Calibri" w:hAnsi="Calibri"/>
                <w:b/>
                <w:bCs/>
                <w:sz w:val="18"/>
                <w:szCs w:val="18"/>
              </w:rPr>
              <w:t xml:space="preserve">Go</w:t>
            </w:r>
          </w:p>
        </w:tc>
        <w:tc>
          <w:tcPr>
            <w:tcW w:type="dxa" w:w="2300"/>
            <w:shd w:fill="DCE6F1" w:color="auto" w:val="clear"/>
            <w:tcMar>
              <w:top w:type="dxa" w:w="70"/>
              <w:left w:type="dxa" w:w="100"/>
              <w:bottom w:type="dxa" w:w="70"/>
              <w:right w:type="dxa" w:w="100"/>
            </w:tcMar>
          </w:tcPr>
          <w:p>
            <w:pPr>
              <w:spacing w:after="0"/>
              <w:jc w:val="center"/>
            </w:pPr>
            <w:r>
              <w:rPr>
                <w:rFonts w:ascii="Calibri" w:cs="Calibri" w:eastAsia="Calibri" w:hAnsi="Calibri"/>
                <w:b/>
                <w:bCs/>
                <w:sz w:val="18"/>
                <w:szCs w:val="18"/>
              </w:rPr>
              <w:t xml:space="preserve">Caution</w:t>
            </w:r>
          </w:p>
        </w:tc>
        <w:tc>
          <w:tcPr>
            <w:tcW w:type="dxa" w:w="2376"/>
            <w:shd w:fill="DCE6F1" w:color="auto" w:val="clear"/>
            <w:tcMar>
              <w:top w:type="dxa" w:w="70"/>
              <w:left w:type="dxa" w:w="100"/>
              <w:bottom w:type="dxa" w:w="70"/>
              <w:right w:type="dxa" w:w="100"/>
            </w:tcMar>
          </w:tcPr>
          <w:p>
            <w:pPr>
              <w:spacing w:after="0"/>
              <w:jc w:val="center"/>
            </w:pPr>
            <w:r>
              <w:rPr>
                <w:rFonts w:ascii="Calibri" w:cs="Calibri" w:eastAsia="Calibri" w:hAnsi="Calibri"/>
                <w:b/>
                <w:bCs/>
                <w:sz w:val="18"/>
                <w:szCs w:val="18"/>
              </w:rPr>
              <w:t xml:space="preserve">Do not sail</w:t>
            </w:r>
          </w:p>
        </w:tc>
      </w:tr>
      <w:tr>
        <w:trPr>
          <w:tblHeader w:val="false"/>
        </w:trPr>
        <w:tc>
          <w:tcPr>
            <w:tcW w:type="dxa" w:w="2750"/>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Significant wave height</w:t>
            </w:r>
          </w:p>
        </w:tc>
        <w:tc>
          <w:tcPr>
            <w:tcW w:type="dxa" w:w="1600"/>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&lt; 1.5 m</w:t>
            </w:r>
          </w:p>
        </w:tc>
        <w:tc>
          <w:tcPr>
            <w:tcW w:type="dxa" w:w="2300"/>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1.5 – 2.5 m</w:t>
            </w:r>
          </w:p>
        </w:tc>
        <w:tc>
          <w:tcPr>
            <w:tcW w:type="dxa" w:w="2376"/>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&gt; 2.5 m</w:t>
            </w:r>
          </w:p>
        </w:tc>
      </w:tr>
      <w:tr>
        <w:trPr>
          <w:tblHeader w:val="false"/>
        </w:trPr>
        <w:tc>
          <w:tcPr>
            <w:tcW w:type="dxa" w:w="2750"/>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Sustained wind</w:t>
            </w:r>
          </w:p>
        </w:tc>
        <w:tc>
          <w:tcPr>
            <w:tcW w:type="dxa" w:w="1600"/>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&lt; 19 kt</w:t>
            </w:r>
          </w:p>
        </w:tc>
        <w:tc>
          <w:tcPr>
            <w:tcW w:type="dxa" w:w="2300"/>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19 – 27 kt</w:t>
            </w:r>
          </w:p>
        </w:tc>
        <w:tc>
          <w:tcPr>
            <w:tcW w:type="dxa" w:w="2376"/>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&gt; 27 kt</w:t>
            </w:r>
          </w:p>
        </w:tc>
      </w:tr>
      <w:tr>
        <w:trPr>
          <w:tblHeader w:val="false"/>
        </w:trPr>
        <w:tc>
          <w:tcPr>
            <w:tcW w:type="dxa" w:w="2750"/>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Sea steepness (Hs/T²)</w:t>
            </w:r>
          </w:p>
        </w:tc>
        <w:tc>
          <w:tcPr>
            <w:tcW w:type="dxa" w:w="1600"/>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low</w:t>
            </w:r>
          </w:p>
        </w:tc>
        <w:tc>
          <w:tcPr>
            <w:tcW w:type="dxa" w:w="2300"/>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short-period swell</w:t>
            </w:r>
          </w:p>
        </w:tc>
        <w:tc>
          <w:tcPr>
            <w:tcW w:type="dxa" w:w="2376"/>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breaking-sea regime</w:t>
            </w:r>
          </w:p>
        </w:tc>
      </w:tr>
      <w:tr>
        <w:trPr>
          <w:tblHeader w:val="false"/>
        </w:trPr>
        <w:tc>
          <w:tcPr>
            <w:tcW w:type="dxa" w:w="2750"/>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Lightning proximity</w:t>
            </w:r>
          </w:p>
        </w:tc>
        <w:tc>
          <w:tcPr>
            <w:tcW w:type="dxa" w:w="1600"/>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none &lt; 50 km</w:t>
            </w:r>
          </w:p>
        </w:tc>
        <w:tc>
          <w:tcPr>
            <w:tcW w:type="dxa" w:w="2300"/>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50 – 100 km closing</w:t>
            </w:r>
          </w:p>
        </w:tc>
        <w:tc>
          <w:tcPr>
            <w:tcW w:type="dxa" w:w="2376"/>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any strike &lt; 50 km</w:t>
            </w:r>
          </w:p>
        </w:tc>
      </w:tr>
      <w:tr>
        <w:trPr>
          <w:tblHeader w:val="false"/>
        </w:trPr>
        <w:tc>
          <w:tcPr>
            <w:tcW w:type="dxa" w:w="2750"/>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Cyclone cone of uncertainty</w:t>
            </w:r>
          </w:p>
        </w:tc>
        <w:tc>
          <w:tcPr>
            <w:tcW w:type="dxa" w:w="1600"/>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no intersect</w:t>
            </w:r>
          </w:p>
        </w:tc>
        <w:tc>
          <w:tcPr>
            <w:tcW w:type="dxa" w:w="2300"/>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intersect 72 – 120 h</w:t>
            </w:r>
          </w:p>
        </w:tc>
        <w:tc>
          <w:tcPr>
            <w:tcW w:type="dxa" w:w="2376"/>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intersect &lt; 48 h</w:t>
            </w:r>
          </w:p>
        </w:tc>
      </w:tr>
      <w:tr>
        <w:trPr>
          <w:tblHeader w:val="false"/>
        </w:trPr>
        <w:tc>
          <w:tcPr>
            <w:tcW w:type="dxa" w:w="2750"/>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Visibility</w:t>
            </w:r>
          </w:p>
        </w:tc>
        <w:tc>
          <w:tcPr>
            <w:tcW w:type="dxa" w:w="1600"/>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&gt; 5 km</w:t>
            </w:r>
          </w:p>
        </w:tc>
        <w:tc>
          <w:tcPr>
            <w:tcW w:type="dxa" w:w="2300"/>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2 – 5 km</w:t>
            </w:r>
          </w:p>
        </w:tc>
        <w:tc>
          <w:tcPr>
            <w:tcW w:type="dxa" w:w="2376"/>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&lt; 2 km</w:t>
            </w:r>
          </w:p>
        </w:tc>
      </w:tr>
    </w:tbl>
    <w:p>
      <w:pPr>
        <w:spacing w:after="130" w:before="160"/>
      </w:pPr>
      <w:r>
        <w:rPr>
          <w:rFonts w:ascii="Calibri" w:cs="Calibri" w:eastAsia="Calibri" w:hAnsi="Calibri"/>
          <w:b/>
          <w:bCs/>
          <w:sz w:val="21"/>
          <w:szCs w:val="21"/>
        </w:rPr>
        <w:t xml:space="preserve">The worst parameter decides. Never an average.</w:t>
      </w:r>
      <w:r>
        <w:rPr>
          <w:rFonts w:ascii="Calibri" w:cs="Calibri" w:eastAsia="Calibri" w:hAnsi="Calibri"/>
          <w:sz w:val="21"/>
          <w:szCs w:val="21"/>
        </w:rPr>
        <w:t xml:space="preserve"> Averaging across six parameters is how a system sends a boat out under a thunderhead because the waves happened to be calm. Missing wave or wind data can never produce a </w:t>
      </w:r>
      <w:r>
        <w:rPr>
          <w:rFonts w:ascii="Calibri" w:cs="Calibri" w:eastAsia="Calibri" w:hAnsi="Calibri"/>
          <w:i/>
          <w:iCs/>
          <w:sz w:val="21"/>
          <w:szCs w:val="21"/>
        </w:rPr>
        <w:t xml:space="preserve">go</w:t>
      </w:r>
      <w:r>
        <w:rPr>
          <w:rFonts w:ascii="Calibri" w:cs="Calibri" w:eastAsia="Calibri" w:hAnsi="Calibri"/>
          <w:sz w:val="21"/>
          <w:szCs w:val="21"/>
        </w:rPr>
        <w:t xml:space="preserve">.</w:t>
      </w:r>
    </w:p>
    <w:p>
      <w:pPr>
        <w:spacing w:after="130" w:line="276"/>
      </w:pPr>
      <w:r>
        <w:rPr>
          <w:rFonts w:ascii="Calibri" w:cs="Calibri" w:eastAsia="Calibri" w:hAnsi="Calibri"/>
          <w:sz w:val="21"/>
          <w:szCs w:val="21"/>
        </w:rPr>
        <w:t xml:space="preserve">These values are provisional starting points. INCOIS's Small Vessel Advisory Service [9] computes a Boat Safety Index from wave height, wave steepness, directional spread and the rapid growth of wind sea, issued per vessel beam-width class (&lt; 4 m, 6 m, 7 m). It independently selects steepness and vessel size, as this work does, and is the calibration target; its numeric thresholds are not published, so calibration is an identified task, not a completed one.</w:t>
      </w:r>
    </w:p>
    <w:p>
      <w:pPr>
        <w:pStyle w:val="Heading2"/>
        <w:spacing w:after="100" w:before="220"/>
      </w:pPr>
      <w:r>
        <w:rPr>
          <w:rFonts w:ascii="Calibri" w:cs="Calibri" w:eastAsia="Calibri" w:hAnsi="Calibri"/>
        </w:rPr>
        <w:t xml:space="preserve">4.4  Data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26"/>
      </w:tblGrid>
      <w:tr>
        <w:trPr>
          <w:tblHeader/>
        </w:trPr>
        <w:tc>
          <w:tcPr>
            <w:tcW w:type="dxa" w:w="2500"/>
            <w:shd w:fill="DCE6F1" w:color="auto" w:val="clear"/>
            <w:tcMar>
              <w:top w:type="dxa" w:w="70"/>
              <w:left w:type="dxa" w:w="100"/>
              <w:bottom w:type="dxa" w:w="70"/>
              <w:right w:type="dxa" w:w="100"/>
            </w:tcMar>
          </w:tcPr>
          <w:p>
            <w:pPr>
              <w:spacing w:after="0"/>
              <w:jc w:val="center"/>
            </w:pPr>
            <w:r>
              <w:rPr>
                <w:rFonts w:ascii="Calibri" w:cs="Calibri" w:eastAsia="Calibri" w:hAnsi="Calibri"/>
                <w:b/>
                <w:bCs/>
                <w:sz w:val="18"/>
                <w:szCs w:val="18"/>
              </w:rPr>
              <w:t xml:space="preserve">Source</w:t>
            </w:r>
          </w:p>
        </w:tc>
        <w:tc>
          <w:tcPr>
            <w:tcW w:type="dxa" w:w="4000"/>
            <w:shd w:fill="DCE6F1" w:color="auto" w:val="clear"/>
            <w:tcMar>
              <w:top w:type="dxa" w:w="70"/>
              <w:left w:type="dxa" w:w="100"/>
              <w:bottom w:type="dxa" w:w="70"/>
              <w:right w:type="dxa" w:w="100"/>
            </w:tcMar>
          </w:tcPr>
          <w:p>
            <w:pPr>
              <w:spacing w:after="0"/>
              <w:jc w:val="center"/>
            </w:pPr>
            <w:r>
              <w:rPr>
                <w:rFonts w:ascii="Calibri" w:cs="Calibri" w:eastAsia="Calibri" w:hAnsi="Calibri"/>
                <w:b/>
                <w:bCs/>
                <w:sz w:val="18"/>
                <w:szCs w:val="18"/>
              </w:rPr>
              <w:t xml:space="preserve">Provides</w:t>
            </w:r>
          </w:p>
        </w:tc>
        <w:tc>
          <w:tcPr>
            <w:tcW w:type="dxa" w:w="2526"/>
            <w:shd w:fill="DCE6F1" w:color="auto" w:val="clear"/>
            <w:tcMar>
              <w:top w:type="dxa" w:w="70"/>
              <w:left w:type="dxa" w:w="100"/>
              <w:bottom w:type="dxa" w:w="70"/>
              <w:right w:type="dxa" w:w="100"/>
            </w:tcMar>
          </w:tcPr>
          <w:p>
            <w:pPr>
              <w:spacing w:after="0"/>
              <w:jc w:val="center"/>
            </w:pPr>
            <w:r>
              <w:rPr>
                <w:rFonts w:ascii="Calibri" w:cs="Calibri" w:eastAsia="Calibri" w:hAnsi="Calibri"/>
                <w:b/>
                <w:bCs/>
                <w:sz w:val="18"/>
                <w:szCs w:val="18"/>
              </w:rPr>
              <w:t xml:space="preserve">Access</w:t>
            </w:r>
          </w:p>
        </w:tc>
      </w:tr>
      <w:tr>
        <w:trPr>
          <w:tblHeader w:val="false"/>
        </w:trPr>
        <w:tc>
          <w:tcPr>
            <w:tcW w:type="dxa" w:w="2500"/>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Open-Meteo Marine + Weather</w:t>
            </w:r>
          </w:p>
        </w:tc>
        <w:tc>
          <w:tcPr>
            <w:tcW w:type="dxa" w:w="4000"/>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Wave height/period/direction, swell, currents, wind, gusts, visibility</w:t>
            </w:r>
          </w:p>
        </w:tc>
        <w:tc>
          <w:tcPr>
            <w:tcW w:type="dxa" w:w="2526"/>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Free, no key — the reliability floor</w:t>
            </w:r>
          </w:p>
        </w:tc>
      </w:tr>
      <w:tr>
        <w:trPr>
          <w:tblHeader w:val="false"/>
        </w:trPr>
        <w:tc>
          <w:tcPr>
            <w:tcW w:type="dxa" w:w="2500"/>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INCOIS PFZ (GeoServer WFS)</w:t>
            </w:r>
          </w:p>
        </w:tc>
        <w:tc>
          <w:tcPr>
            <w:tcW w:type="dxa" w:w="4000"/>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Daily Potential Fishing Zone advisories by sector</w:t>
            </w:r>
          </w:p>
        </w:tc>
        <w:tc>
          <w:tcPr>
            <w:tcW w:type="dxa" w:w="2526"/>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Open, cached daily</w:t>
            </w:r>
          </w:p>
        </w:tc>
      </w:tr>
      <w:tr>
        <w:trPr>
          <w:tblHeader w:val="false"/>
        </w:trPr>
        <w:tc>
          <w:tcPr>
            <w:tcW w:type="dxa" w:w="2500"/>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INCOIS static layers</w:t>
            </w:r>
          </w:p>
        </w:tc>
        <w:tc>
          <w:tcPr>
            <w:tcW w:type="dxa" w:w="4000"/>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14 PFZ sectors, 1,223 named landing centres</w:t>
            </w:r>
          </w:p>
        </w:tc>
        <w:tc>
          <w:tcPr>
            <w:tcW w:type="dxa" w:w="2526"/>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Open, committed</w:t>
            </w:r>
          </w:p>
        </w:tc>
      </w:tr>
      <w:tr>
        <w:trPr>
          <w:tblHeader w:val="false"/>
        </w:trPr>
        <w:tc>
          <w:tcPr>
            <w:tcW w:type="dxa" w:w="2500"/>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Marine Regions (VLIZ)</w:t>
            </w:r>
          </w:p>
        </w:tc>
        <w:tc>
          <w:tcPr>
            <w:tcW w:type="dxa" w:w="4000"/>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Indian EEZ, IMBL, boundary polygons</w:t>
            </w:r>
          </w:p>
        </w:tc>
        <w:tc>
          <w:tcPr>
            <w:tcW w:type="dxa" w:w="2526"/>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Static GeoJSON</w:t>
            </w:r>
          </w:p>
        </w:tc>
      </w:tr>
      <w:tr>
        <w:trPr>
          <w:tblHeader w:val="false"/>
        </w:trPr>
        <w:tc>
          <w:tcPr>
            <w:tcW w:type="dxa" w:w="2500"/>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NOAA CoastWatch</w:t>
            </w:r>
          </w:p>
        </w:tc>
        <w:tc>
          <w:tcPr>
            <w:tcW w:type="dxa" w:w="4000"/>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Chlorophyll-a</w:t>
            </w:r>
          </w:p>
        </w:tc>
        <w:tc>
          <w:tcPr>
            <w:tcW w:type="dxa" w:w="2526"/>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Open</w:t>
            </w:r>
          </w:p>
        </w:tc>
      </w:tr>
      <w:tr>
        <w:trPr>
          <w:tblHeader w:val="false"/>
        </w:trPr>
        <w:tc>
          <w:tcPr>
            <w:tcW w:type="dxa" w:w="2500"/>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Copernicus Marine</w:t>
            </w:r>
          </w:p>
        </w:tc>
        <w:tc>
          <w:tcPr>
            <w:tcW w:type="dxa" w:w="4000"/>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Chlorophyll-a, physics</w:t>
            </w:r>
          </w:p>
        </w:tc>
        <w:tc>
          <w:tcPr>
            <w:tcW w:type="dxa" w:w="2526"/>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Free account</w:t>
            </w:r>
          </w:p>
        </w:tc>
      </w:tr>
      <w:tr>
        <w:trPr>
          <w:tblHeader w:val="false"/>
        </w:trPr>
        <w:tc>
          <w:tcPr>
            <w:tcW w:type="dxa" w:w="2500"/>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IMD</w:t>
            </w:r>
          </w:p>
        </w:tc>
        <w:tc>
          <w:tcPr>
            <w:tcW w:type="dxa" w:w="4000"/>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Cyclone track, lightning, district warnings</w:t>
            </w:r>
          </w:p>
        </w:tc>
        <w:tc>
          <w:tcPr>
            <w:tcW w:type="dxa" w:w="2526"/>
            <w:tcMar>
              <w:top w:type="dxa" w:w="70"/>
              <w:left w:type="dxa" w:w="100"/>
              <w:bottom w:type="dxa" w:w="70"/>
              <w:right w:type="dxa" w:w="100"/>
            </w:tcMar>
          </w:tcPr>
          <w:p>
            <w:pPr>
              <w:spacing w:after="0"/>
              <w:jc w:val="left"/>
            </w:pPr>
            <w:r>
              <w:rPr>
                <w:rFonts w:ascii="Calibri" w:cs="Calibri" w:eastAsia="Calibri" w:hAnsi="Calibri"/>
                <w:b/>
                <w:bCs/>
                <w:sz w:val="21"/>
                <w:szCs w:val="21"/>
              </w:rPr>
              <w:t xml:space="preserve">Pending access key</w:t>
            </w:r>
          </w:p>
        </w:tc>
      </w:tr>
      <w:tr>
        <w:trPr>
          <w:tblHeader w:val="false"/>
        </w:trPr>
        <w:tc>
          <w:tcPr>
            <w:tcW w:type="dxa" w:w="2500"/>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INCOIS ERDDAP</w:t>
            </w:r>
          </w:p>
        </w:tc>
        <w:tc>
          <w:tcPr>
            <w:tcW w:type="dxa" w:w="4000"/>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SST and chlorophyll archive</w:t>
            </w:r>
          </w:p>
        </w:tc>
        <w:tc>
          <w:tcPr>
            <w:tcW w:type="dxa" w:w="2526"/>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Open, but stale (SST ends 2011) — not used</w:t>
            </w:r>
          </w:p>
        </w:tc>
      </w:tr>
    </w:tbl>
    <w:p>
      <w:pPr>
        <w:spacing w:after="130" w:before="160"/>
      </w:pPr>
      <w:r>
        <w:rPr>
          <w:rFonts w:ascii="Calibri" w:cs="Calibri" w:eastAsia="Calibri" w:hAnsi="Calibri"/>
          <w:sz w:val="21"/>
          <w:szCs w:val="21"/>
        </w:rPr>
        <w:t xml:space="preserve">Every fetch follows a four-step chain: </w:t>
      </w:r>
      <w:r>
        <w:rPr>
          <w:rFonts w:ascii="Calibri" w:cs="Calibri" w:eastAsia="Calibri" w:hAnsi="Calibri"/>
          <w:b/>
          <w:bCs/>
          <w:sz w:val="21"/>
          <w:szCs w:val="21"/>
        </w:rPr>
        <w:t xml:space="preserve">fresh cache → live (2 s budget) → stale cache → frozen snapshot</w:t>
      </w:r>
      <w:r>
        <w:rPr>
          <w:rFonts w:ascii="Calibri" w:cs="Calibri" w:eastAsia="Calibri" w:hAnsi="Calibri"/>
          <w:sz w:val="21"/>
          <w:szCs w:val="21"/>
        </w:rPr>
        <w:t xml:space="preserve">, with confidence 0.95 / 1.00 / 0.70 / 0.50 respectively. The system produces a complete, honest answer with the network unplugged, and says that it is doing so.</w:t>
      </w:r>
    </w:p>
    <w:p>
      <w:pPr>
        <w:pStyle w:val="Heading2"/>
        <w:spacing w:after="100" w:before="220"/>
      </w:pPr>
      <w:r>
        <w:rPr>
          <w:rFonts w:ascii="Calibri" w:cs="Calibri" w:eastAsia="Calibri" w:hAnsi="Calibri"/>
        </w:rPr>
        <w:t xml:space="preserve">4.5  Tools and techniques</w:t>
      </w:r>
    </w:p>
    <w:p>
      <w:pPr>
        <w:spacing w:after="130" w:line="276"/>
      </w:pPr>
      <w:r>
        <w:rPr>
          <w:rFonts w:ascii="Calibri" w:cs="Calibri" w:eastAsia="Calibri" w:hAnsi="Calibri"/>
          <w:sz w:val="21"/>
          <w:szCs w:val="21"/>
        </w:rPr>
        <w:t xml:space="preserve">Python 3.11 · Pydantic · LangGraph · FastAPI with SSE streaming · xarray/netCDF4 · Shapely · httpx (async) · pytest · React 19 + Vite + MapLibre GL · model-agnostic LLM layer (Gemini free tier, Ollama, or none). Total external cost to date: </w:t>
      </w:r>
      <w:r>
        <w:rPr>
          <w:rFonts w:ascii="Calibri" w:cs="Calibri" w:eastAsia="Calibri" w:hAnsi="Calibri"/>
          <w:b/>
          <w:bCs/>
          <w:sz w:val="21"/>
          <w:szCs w:val="21"/>
        </w:rPr>
        <w:t xml:space="preserve">₹0</w:t>
      </w:r>
      <w:r>
        <w:rPr>
          <w:rFonts w:ascii="Calibri" w:cs="Calibri" w:eastAsia="Calibri" w:hAnsi="Calibri"/>
          <w:sz w:val="21"/>
          <w:szCs w:val="21"/>
        </w:rPr>
        <w:t xml:space="preserve">.</w:t>
      </w:r>
    </w:p>
    <w:p>
      <w:pPr>
        <w:pStyle w:val="Heading2"/>
        <w:spacing w:after="100" w:before="220"/>
      </w:pPr>
      <w:r>
        <w:rPr>
          <w:rFonts w:ascii="Calibri" w:cs="Calibri" w:eastAsia="Calibri" w:hAnsi="Calibri"/>
        </w:rPr>
        <w:t xml:space="preserve">4.6  Evaluation method</w:t>
      </w:r>
    </w:p>
    <w:p>
      <w:pPr>
        <w:spacing w:after="130" w:line="276"/>
      </w:pPr>
      <w:r>
        <w:rPr>
          <w:rFonts w:ascii="Calibri" w:cs="Calibri" w:eastAsia="Calibri" w:hAnsi="Calibri"/>
          <w:sz w:val="21"/>
          <w:szCs w:val="21"/>
        </w:rPr>
        <w:t xml:space="preserve">Prediction: the verdict computed from the forecast available the evening before. Truth: the verdict computed from the same model's final analysis for that morning. Sample: 92 mornings × 5 harbours = 460 harbour-mornings per lead time, across the 2026 south-west monsoon. Scored with POD, FAR, CSI and a 3×3 confusion matrix [10].</w:t>
      </w:r>
    </w:p>
    <w:p>
      <w:pPr>
        <w:spacing w:after="130" w:line="276"/>
      </w:pPr>
      <w:r>
        <w:rPr>
          <w:rFonts w:ascii="Calibri" w:cs="Calibri" w:eastAsia="Calibri" w:hAnsi="Calibri"/>
          <w:sz w:val="21"/>
          <w:szCs w:val="21"/>
        </w:rPr>
        <w:t xml:space="preserve">This is forecast-versus-analysis, which is an </w:t>
      </w:r>
      <w:r>
        <w:rPr>
          <w:rFonts w:ascii="Calibri" w:cs="Calibri" w:eastAsia="Calibri" w:hAnsi="Calibri"/>
          <w:b/>
          <w:bCs/>
          <w:sz w:val="21"/>
          <w:szCs w:val="21"/>
        </w:rPr>
        <w:t xml:space="preserve">upper bound</w:t>
      </w:r>
      <w:r>
        <w:rPr>
          <w:rFonts w:ascii="Calibri" w:cs="Calibri" w:eastAsia="Calibri" w:hAnsi="Calibri"/>
          <w:sz w:val="21"/>
          <w:szCs w:val="21"/>
        </w:rPr>
        <w:t xml:space="preserve"> on true skill; no public INCOIS or NIOT buoy feed is available to us. The harness runs unchanged against buoy data if access is obtained — this is the single most valuable thing the department could help secure.</w:t>
      </w:r>
    </w:p>
    <w:p>
      <w:pPr>
        <w:pStyle w:val="Heading1"/>
        <w:spacing w:after="140" w:before="300"/>
      </w:pPr>
      <w:r>
        <w:rPr>
          <w:rFonts w:ascii="Calibri" w:cs="Calibri" w:eastAsia="Calibri" w:hAnsi="Calibri"/>
        </w:rPr>
        <w:t xml:space="preserve">5.  Progress and Preliminary Results</w:t>
      </w:r>
    </w:p>
    <w:p>
      <w:pPr>
        <w:spacing w:after="130" w:line="276"/>
      </w:pPr>
      <w:r>
        <w:rPr>
          <w:rFonts w:ascii="Calibri" w:cs="Calibri" w:eastAsia="Calibri" w:hAnsi="Calibri"/>
          <w:sz w:val="21"/>
          <w:szCs w:val="21"/>
        </w:rPr>
        <w:t xml:space="preserve">Four of six planned phases are complete: data-source verification and snapshotting; the typed tool belt and risk engine; the LangGraph agent system with planner and verifier; and the FastAPI + MapLibre interface. The implementation is approximately 4,700 lines of Python and 630 of TypeScript, with 115 passing unit tests concentrated on the risk and geospatial modules.</w:t>
      </w:r>
    </w:p>
    <w:p>
      <w:pPr>
        <w:spacing w:after="120" w:before="170"/>
      </w:pPr>
      <w:r>
        <w:rPr>
          <w:rFonts w:ascii="Calibri" w:cs="Calibri" w:eastAsia="Calibri" w:hAnsi="Calibri"/>
          <w:b/>
          <w:bCs/>
          <w:sz w:val="21"/>
          <w:szCs w:val="21"/>
        </w:rPr>
        <w:t xml:space="preserve">Verdict skill, 92 days × 5 harbours, pooled (do-not-sail event):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0"/>
        <w:gridCol w:w="1350"/>
        <w:gridCol w:w="1700"/>
        <w:gridCol w:w="1050"/>
        <w:gridCol w:w="1000"/>
        <w:gridCol w:w="1250"/>
        <w:gridCol w:w="1326"/>
      </w:tblGrid>
      <w:tr>
        <w:trPr>
          <w:tblHeader/>
        </w:trPr>
        <w:tc>
          <w:tcPr>
            <w:tcW w:type="dxa" w:w="1350"/>
            <w:shd w:fill="DCE6F1" w:color="auto" w:val="clear"/>
            <w:tcMar>
              <w:top w:type="dxa" w:w="70"/>
              <w:left w:type="dxa" w:w="100"/>
              <w:bottom w:type="dxa" w:w="70"/>
              <w:right w:type="dxa" w:w="100"/>
            </w:tcMar>
          </w:tcPr>
          <w:p>
            <w:pPr>
              <w:spacing w:after="0"/>
              <w:jc w:val="center"/>
            </w:pPr>
            <w:r>
              <w:rPr>
                <w:rFonts w:ascii="Calibri" w:cs="Calibri" w:eastAsia="Calibri" w:hAnsi="Calibri"/>
                <w:b/>
                <w:bCs/>
                <w:sz w:val="18"/>
                <w:szCs w:val="18"/>
              </w:rPr>
              <w:t xml:space="preserve">Forecast lead</w:t>
            </w:r>
          </w:p>
        </w:tc>
        <w:tc>
          <w:tcPr>
            <w:tcW w:type="dxa" w:w="1350"/>
            <w:shd w:fill="DCE6F1" w:color="auto" w:val="clear"/>
            <w:tcMar>
              <w:top w:type="dxa" w:w="70"/>
              <w:left w:type="dxa" w:w="100"/>
              <w:bottom w:type="dxa" w:w="70"/>
              <w:right w:type="dxa" w:w="100"/>
            </w:tcMar>
          </w:tcPr>
          <w:p>
            <w:pPr>
              <w:spacing w:after="0"/>
              <w:jc w:val="center"/>
            </w:pPr>
            <w:r>
              <w:rPr>
                <w:rFonts w:ascii="Calibri" w:cs="Calibri" w:eastAsia="Calibri" w:hAnsi="Calibri"/>
                <w:b/>
                <w:bCs/>
                <w:sz w:val="18"/>
                <w:szCs w:val="18"/>
              </w:rPr>
              <w:t xml:space="preserve">Dangerous mornings warned</w:t>
            </w:r>
          </w:p>
        </w:tc>
        <w:tc>
          <w:tcPr>
            <w:tcW w:type="dxa" w:w="1700"/>
            <w:shd w:fill="DCE6F1" w:color="auto" w:val="clear"/>
            <w:tcMar>
              <w:top w:type="dxa" w:w="70"/>
              <w:left w:type="dxa" w:w="100"/>
              <w:bottom w:type="dxa" w:w="70"/>
              <w:right w:type="dxa" w:w="100"/>
            </w:tcMar>
          </w:tcPr>
          <w:p>
            <w:pPr>
              <w:spacing w:after="0"/>
              <w:jc w:val="center"/>
            </w:pPr>
            <w:r>
              <w:rPr>
                <w:rFonts w:ascii="Calibri" w:cs="Calibri" w:eastAsia="Calibri" w:hAnsi="Calibri"/>
                <w:b/>
                <w:bCs/>
                <w:sz w:val="18"/>
                <w:szCs w:val="18"/>
              </w:rPr>
              <w:t xml:space="preserve">Hit rate (POD) [95 % CI]</w:t>
            </w:r>
          </w:p>
        </w:tc>
        <w:tc>
          <w:tcPr>
            <w:tcW w:type="dxa" w:w="1050"/>
            <w:shd w:fill="DCE6F1" w:color="auto" w:val="clear"/>
            <w:tcMar>
              <w:top w:type="dxa" w:w="70"/>
              <w:left w:type="dxa" w:w="100"/>
              <w:bottom w:type="dxa" w:w="70"/>
              <w:right w:type="dxa" w:w="100"/>
            </w:tcMar>
          </w:tcPr>
          <w:p>
            <w:pPr>
              <w:spacing w:after="0"/>
              <w:jc w:val="center"/>
            </w:pPr>
            <w:r>
              <w:rPr>
                <w:rFonts w:ascii="Calibri" w:cs="Calibri" w:eastAsia="Calibri" w:hAnsi="Calibri"/>
                <w:b/>
                <w:bCs/>
                <w:sz w:val="18"/>
                <w:szCs w:val="18"/>
              </w:rPr>
              <w:t xml:space="preserve">Warnings issued</w:t>
            </w:r>
          </w:p>
        </w:tc>
        <w:tc>
          <w:tcPr>
            <w:tcW w:type="dxa" w:w="1000"/>
            <w:shd w:fill="DCE6F1" w:color="auto" w:val="clear"/>
            <w:tcMar>
              <w:top w:type="dxa" w:w="70"/>
              <w:left w:type="dxa" w:w="100"/>
              <w:bottom w:type="dxa" w:w="70"/>
              <w:right w:type="dxa" w:w="100"/>
            </w:tcMar>
          </w:tcPr>
          <w:p>
            <w:pPr>
              <w:spacing w:after="0"/>
              <w:jc w:val="center"/>
            </w:pPr>
            <w:r>
              <w:rPr>
                <w:rFonts w:ascii="Calibri" w:cs="Calibri" w:eastAsia="Calibri" w:hAnsi="Calibri"/>
                <w:b/>
                <w:bCs/>
                <w:sz w:val="18"/>
                <w:szCs w:val="18"/>
              </w:rPr>
              <w:t xml:space="preserve">False alarms</w:t>
            </w:r>
          </w:p>
        </w:tc>
        <w:tc>
          <w:tcPr>
            <w:tcW w:type="dxa" w:w="1250"/>
            <w:shd w:fill="DCE6F1" w:color="auto" w:val="clear"/>
            <w:tcMar>
              <w:top w:type="dxa" w:w="70"/>
              <w:left w:type="dxa" w:w="100"/>
              <w:bottom w:type="dxa" w:w="70"/>
              <w:right w:type="dxa" w:w="100"/>
            </w:tcMar>
          </w:tcPr>
          <w:p>
            <w:pPr>
              <w:spacing w:after="0"/>
              <w:jc w:val="center"/>
            </w:pPr>
            <w:r>
              <w:rPr>
                <w:rFonts w:ascii="Calibri" w:cs="Calibri" w:eastAsia="Calibri" w:hAnsi="Calibri"/>
                <w:b/>
                <w:bCs/>
                <w:sz w:val="18"/>
                <w:szCs w:val="18"/>
              </w:rPr>
              <w:t xml:space="preserve">False-alarm ratio</w:t>
            </w:r>
          </w:p>
        </w:tc>
        <w:tc>
          <w:tcPr>
            <w:tcW w:type="dxa" w:w="1326"/>
            <w:shd w:fill="DCE6F1" w:color="auto" w:val="clear"/>
            <w:tcMar>
              <w:top w:type="dxa" w:w="70"/>
              <w:left w:type="dxa" w:w="100"/>
              <w:bottom w:type="dxa" w:w="70"/>
              <w:right w:type="dxa" w:w="100"/>
            </w:tcMar>
          </w:tcPr>
          <w:p>
            <w:pPr>
              <w:spacing w:after="0"/>
              <w:jc w:val="center"/>
            </w:pPr>
            <w:r>
              <w:rPr>
                <w:rFonts w:ascii="Calibri" w:cs="Calibri" w:eastAsia="Calibri" w:hAnsi="Calibri"/>
                <w:b/>
                <w:bCs/>
                <w:sz w:val="18"/>
                <w:szCs w:val="18"/>
              </w:rPr>
              <w:t xml:space="preserve">CSI</w:t>
            </w:r>
          </w:p>
        </w:tc>
      </w:tr>
      <w:tr>
        <w:trPr>
          <w:tblHeader w:val="false"/>
        </w:trPr>
        <w:tc>
          <w:tcPr>
            <w:tcW w:type="dxa" w:w="1350"/>
            <w:tcMar>
              <w:top w:type="dxa" w:w="70"/>
              <w:left w:type="dxa" w:w="100"/>
              <w:bottom w:type="dxa" w:w="70"/>
              <w:right w:type="dxa" w:w="100"/>
            </w:tcMar>
          </w:tcPr>
          <w:p>
            <w:pPr>
              <w:spacing w:after="0"/>
              <w:jc w:val="left"/>
            </w:pPr>
            <w:r>
              <w:rPr>
                <w:rFonts w:ascii="Calibri" w:cs="Calibri" w:eastAsia="Calibri" w:hAnsi="Calibri"/>
                <w:b/>
                <w:bCs/>
                <w:sz w:val="21"/>
                <w:szCs w:val="21"/>
              </w:rPr>
              <w:t xml:space="preserve">1 day ahead</w:t>
            </w:r>
          </w:p>
        </w:tc>
        <w:tc>
          <w:tcPr>
            <w:tcW w:type="dxa" w:w="1350"/>
            <w:tcMar>
              <w:top w:type="dxa" w:w="70"/>
              <w:left w:type="dxa" w:w="100"/>
              <w:bottom w:type="dxa" w:w="70"/>
              <w:right w:type="dxa" w:w="100"/>
            </w:tcMar>
          </w:tcPr>
          <w:p>
            <w:pPr>
              <w:spacing w:after="0"/>
              <w:jc w:val="center"/>
            </w:pPr>
            <w:r>
              <w:rPr>
                <w:rFonts w:ascii="Calibri" w:cs="Calibri" w:eastAsia="Calibri" w:hAnsi="Calibri"/>
                <w:b/>
                <w:bCs/>
                <w:sz w:val="21"/>
                <w:szCs w:val="21"/>
              </w:rPr>
              <w:t xml:space="preserve">31 of 33</w:t>
            </w:r>
          </w:p>
        </w:tc>
        <w:tc>
          <w:tcPr>
            <w:tcW w:type="dxa" w:w="1700"/>
            <w:tcMar>
              <w:top w:type="dxa" w:w="70"/>
              <w:left w:type="dxa" w:w="100"/>
              <w:bottom w:type="dxa" w:w="70"/>
              <w:right w:type="dxa" w:w="100"/>
            </w:tcMar>
          </w:tcPr>
          <w:p>
            <w:pPr>
              <w:spacing w:after="0"/>
              <w:jc w:val="center"/>
            </w:pPr>
            <w:r>
              <w:rPr>
                <w:rFonts w:ascii="Calibri" w:cs="Calibri" w:eastAsia="Calibri" w:hAnsi="Calibri"/>
                <w:b/>
                <w:bCs/>
                <w:sz w:val="21"/>
                <w:szCs w:val="21"/>
              </w:rPr>
              <w:t xml:space="preserve">93.9 %</w:t>
            </w:r>
            <w:r>
              <w:rPr>
                <w:rFonts w:ascii="Calibri" w:cs="Calibri" w:eastAsia="Calibri" w:hAnsi="Calibri"/>
                <w:b w:val="false"/>
                <w:bCs w:val="false"/>
                <w:sz w:val="18"/>
                <w:szCs w:val="18"/>
              </w:rPr>
              <w:t xml:space="preserve"> [80–98 %]</w:t>
            </w:r>
          </w:p>
        </w:tc>
        <w:tc>
          <w:tcPr>
            <w:tcW w:type="dxa" w:w="1050"/>
            <w:tcMar>
              <w:top w:type="dxa" w:w="70"/>
              <w:left w:type="dxa" w:w="100"/>
              <w:bottom w:type="dxa" w:w="70"/>
              <w:right w:type="dxa" w:w="100"/>
            </w:tcMar>
          </w:tcPr>
          <w:p>
            <w:pPr>
              <w:spacing w:after="0"/>
              <w:jc w:val="center"/>
            </w:pPr>
            <w:r>
              <w:rPr>
                <w:rFonts w:ascii="Calibri" w:cs="Calibri" w:eastAsia="Calibri" w:hAnsi="Calibri"/>
                <w:b w:val="false"/>
                <w:bCs w:val="false"/>
                <w:sz w:val="18"/>
                <w:szCs w:val="18"/>
              </w:rPr>
              <w:t xml:space="preserve">32</w:t>
            </w:r>
          </w:p>
        </w:tc>
        <w:tc>
          <w:tcPr>
            <w:tcW w:type="dxa" w:w="1000"/>
            <w:tcMar>
              <w:top w:type="dxa" w:w="70"/>
              <w:left w:type="dxa" w:w="100"/>
              <w:bottom w:type="dxa" w:w="70"/>
              <w:right w:type="dxa" w:w="100"/>
            </w:tcMar>
          </w:tcPr>
          <w:p>
            <w:pPr>
              <w:spacing w:after="0"/>
              <w:jc w:val="center"/>
            </w:pPr>
            <w:r>
              <w:rPr>
                <w:rFonts w:ascii="Calibri" w:cs="Calibri" w:eastAsia="Calibri" w:hAnsi="Calibri"/>
                <w:b/>
                <w:bCs/>
                <w:sz w:val="21"/>
                <w:szCs w:val="21"/>
              </w:rPr>
              <w:t xml:space="preserve">1</w:t>
            </w:r>
          </w:p>
        </w:tc>
        <w:tc>
          <w:tcPr>
            <w:tcW w:type="dxa" w:w="1250"/>
            <w:tcMar>
              <w:top w:type="dxa" w:w="70"/>
              <w:left w:type="dxa" w:w="100"/>
              <w:bottom w:type="dxa" w:w="70"/>
              <w:right w:type="dxa" w:w="100"/>
            </w:tcMar>
          </w:tcPr>
          <w:p>
            <w:pPr>
              <w:spacing w:after="0"/>
              <w:jc w:val="center"/>
            </w:pPr>
            <w:r>
              <w:rPr>
                <w:rFonts w:ascii="Calibri" w:cs="Calibri" w:eastAsia="Calibri" w:hAnsi="Calibri"/>
                <w:b/>
                <w:bCs/>
                <w:sz w:val="21"/>
                <w:szCs w:val="21"/>
              </w:rPr>
              <w:t xml:space="preserve">3.1 %</w:t>
            </w:r>
          </w:p>
        </w:tc>
        <w:tc>
          <w:tcPr>
            <w:tcW w:type="dxa" w:w="1326"/>
            <w:tcMar>
              <w:top w:type="dxa" w:w="70"/>
              <w:left w:type="dxa" w:w="100"/>
              <w:bottom w:type="dxa" w:w="70"/>
              <w:right w:type="dxa" w:w="100"/>
            </w:tcMar>
          </w:tcPr>
          <w:p>
            <w:pPr>
              <w:spacing w:after="0"/>
              <w:jc w:val="center"/>
            </w:pPr>
            <w:r>
              <w:rPr>
                <w:rFonts w:ascii="Calibri" w:cs="Calibri" w:eastAsia="Calibri" w:hAnsi="Calibri"/>
                <w:b/>
                <w:bCs/>
                <w:sz w:val="21"/>
                <w:szCs w:val="21"/>
              </w:rPr>
              <w:t xml:space="preserve">91.2 %</w:t>
            </w:r>
          </w:p>
        </w:tc>
      </w:tr>
      <w:tr>
        <w:trPr>
          <w:tblHeader w:val="false"/>
        </w:trPr>
        <w:tc>
          <w:tcPr>
            <w:tcW w:type="dxa" w:w="1350"/>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2 days ahead</w:t>
            </w:r>
          </w:p>
        </w:tc>
        <w:tc>
          <w:tcPr>
            <w:tcW w:type="dxa" w:w="1350"/>
            <w:tcMar>
              <w:top w:type="dxa" w:w="70"/>
              <w:left w:type="dxa" w:w="100"/>
              <w:bottom w:type="dxa" w:w="70"/>
              <w:right w:type="dxa" w:w="100"/>
            </w:tcMar>
          </w:tcPr>
          <w:p>
            <w:pPr>
              <w:spacing w:after="0"/>
              <w:jc w:val="center"/>
            </w:pPr>
            <w:r>
              <w:rPr>
                <w:rFonts w:ascii="Calibri" w:cs="Calibri" w:eastAsia="Calibri" w:hAnsi="Calibri"/>
                <w:b w:val="false"/>
                <w:bCs w:val="false"/>
                <w:sz w:val="18"/>
                <w:szCs w:val="18"/>
              </w:rPr>
              <w:t xml:space="preserve">32 of 33</w:t>
            </w:r>
          </w:p>
        </w:tc>
        <w:tc>
          <w:tcPr>
            <w:tcW w:type="dxa" w:w="1700"/>
            <w:tcMar>
              <w:top w:type="dxa" w:w="70"/>
              <w:left w:type="dxa" w:w="100"/>
              <w:bottom w:type="dxa" w:w="70"/>
              <w:right w:type="dxa" w:w="100"/>
            </w:tcMar>
          </w:tcPr>
          <w:p>
            <w:pPr>
              <w:spacing w:after="0"/>
              <w:jc w:val="center"/>
            </w:pPr>
            <w:r>
              <w:rPr>
                <w:rFonts w:ascii="Calibri" w:cs="Calibri" w:eastAsia="Calibri" w:hAnsi="Calibri"/>
                <w:b w:val="false"/>
                <w:bCs w:val="false"/>
                <w:sz w:val="18"/>
                <w:szCs w:val="18"/>
              </w:rPr>
              <w:t xml:space="preserve">97.0 % [85–99 %]</w:t>
            </w:r>
          </w:p>
        </w:tc>
        <w:tc>
          <w:tcPr>
            <w:tcW w:type="dxa" w:w="1050"/>
            <w:tcMar>
              <w:top w:type="dxa" w:w="70"/>
              <w:left w:type="dxa" w:w="100"/>
              <w:bottom w:type="dxa" w:w="70"/>
              <w:right w:type="dxa" w:w="100"/>
            </w:tcMar>
          </w:tcPr>
          <w:p>
            <w:pPr>
              <w:spacing w:after="0"/>
              <w:jc w:val="center"/>
            </w:pPr>
            <w:r>
              <w:rPr>
                <w:rFonts w:ascii="Calibri" w:cs="Calibri" w:eastAsia="Calibri" w:hAnsi="Calibri"/>
                <w:b w:val="false"/>
                <w:bCs w:val="false"/>
                <w:sz w:val="18"/>
                <w:szCs w:val="18"/>
              </w:rPr>
              <w:t xml:space="preserve">39</w:t>
            </w:r>
          </w:p>
        </w:tc>
        <w:tc>
          <w:tcPr>
            <w:tcW w:type="dxa" w:w="1000"/>
            <w:tcMar>
              <w:top w:type="dxa" w:w="70"/>
              <w:left w:type="dxa" w:w="100"/>
              <w:bottom w:type="dxa" w:w="70"/>
              <w:right w:type="dxa" w:w="100"/>
            </w:tcMar>
          </w:tcPr>
          <w:p>
            <w:pPr>
              <w:spacing w:after="0"/>
              <w:jc w:val="center"/>
            </w:pPr>
            <w:r>
              <w:rPr>
                <w:rFonts w:ascii="Calibri" w:cs="Calibri" w:eastAsia="Calibri" w:hAnsi="Calibri"/>
                <w:b w:val="false"/>
                <w:bCs w:val="false"/>
                <w:sz w:val="18"/>
                <w:szCs w:val="18"/>
              </w:rPr>
              <w:t xml:space="preserve">7</w:t>
            </w:r>
          </w:p>
        </w:tc>
        <w:tc>
          <w:tcPr>
            <w:tcW w:type="dxa" w:w="1250"/>
            <w:tcMar>
              <w:top w:type="dxa" w:w="70"/>
              <w:left w:type="dxa" w:w="100"/>
              <w:bottom w:type="dxa" w:w="70"/>
              <w:right w:type="dxa" w:w="100"/>
            </w:tcMar>
          </w:tcPr>
          <w:p>
            <w:pPr>
              <w:spacing w:after="0"/>
              <w:jc w:val="center"/>
            </w:pPr>
            <w:r>
              <w:rPr>
                <w:rFonts w:ascii="Calibri" w:cs="Calibri" w:eastAsia="Calibri" w:hAnsi="Calibri"/>
                <w:b w:val="false"/>
                <w:bCs w:val="false"/>
                <w:sz w:val="18"/>
                <w:szCs w:val="18"/>
              </w:rPr>
              <w:t xml:space="preserve">17.9 %</w:t>
            </w:r>
          </w:p>
        </w:tc>
        <w:tc>
          <w:tcPr>
            <w:tcW w:type="dxa" w:w="1326"/>
            <w:tcMar>
              <w:top w:type="dxa" w:w="70"/>
              <w:left w:type="dxa" w:w="100"/>
              <w:bottom w:type="dxa" w:w="70"/>
              <w:right w:type="dxa" w:w="100"/>
            </w:tcMar>
          </w:tcPr>
          <w:p>
            <w:pPr>
              <w:spacing w:after="0"/>
              <w:jc w:val="center"/>
            </w:pPr>
            <w:r>
              <w:rPr>
                <w:rFonts w:ascii="Calibri" w:cs="Calibri" w:eastAsia="Calibri" w:hAnsi="Calibri"/>
                <w:b w:val="false"/>
                <w:bCs w:val="false"/>
                <w:sz w:val="18"/>
                <w:szCs w:val="18"/>
              </w:rPr>
              <w:t xml:space="preserve">80.0 %</w:t>
            </w:r>
          </w:p>
        </w:tc>
      </w:tr>
      <w:tr>
        <w:trPr>
          <w:tblHeader w:val="false"/>
        </w:trPr>
        <w:tc>
          <w:tcPr>
            <w:tcW w:type="dxa" w:w="1350"/>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3 days ahead</w:t>
            </w:r>
          </w:p>
        </w:tc>
        <w:tc>
          <w:tcPr>
            <w:tcW w:type="dxa" w:w="1350"/>
            <w:tcMar>
              <w:top w:type="dxa" w:w="70"/>
              <w:left w:type="dxa" w:w="100"/>
              <w:bottom w:type="dxa" w:w="70"/>
              <w:right w:type="dxa" w:w="100"/>
            </w:tcMar>
          </w:tcPr>
          <w:p>
            <w:pPr>
              <w:spacing w:after="0"/>
              <w:jc w:val="center"/>
            </w:pPr>
            <w:r>
              <w:rPr>
                <w:rFonts w:ascii="Calibri" w:cs="Calibri" w:eastAsia="Calibri" w:hAnsi="Calibri"/>
                <w:b w:val="false"/>
                <w:bCs w:val="false"/>
                <w:sz w:val="18"/>
                <w:szCs w:val="18"/>
              </w:rPr>
              <w:t xml:space="preserve">30 of 33</w:t>
            </w:r>
          </w:p>
        </w:tc>
        <w:tc>
          <w:tcPr>
            <w:tcW w:type="dxa" w:w="1700"/>
            <w:tcMar>
              <w:top w:type="dxa" w:w="70"/>
              <w:left w:type="dxa" w:w="100"/>
              <w:bottom w:type="dxa" w:w="70"/>
              <w:right w:type="dxa" w:w="100"/>
            </w:tcMar>
          </w:tcPr>
          <w:p>
            <w:pPr>
              <w:spacing w:after="0"/>
              <w:jc w:val="center"/>
            </w:pPr>
            <w:r>
              <w:rPr>
                <w:rFonts w:ascii="Calibri" w:cs="Calibri" w:eastAsia="Calibri" w:hAnsi="Calibri"/>
                <w:b w:val="false"/>
                <w:bCs w:val="false"/>
                <w:sz w:val="18"/>
                <w:szCs w:val="18"/>
              </w:rPr>
              <w:t xml:space="preserve">90.9 % [76–97 %]</w:t>
            </w:r>
          </w:p>
        </w:tc>
        <w:tc>
          <w:tcPr>
            <w:tcW w:type="dxa" w:w="1050"/>
            <w:tcMar>
              <w:top w:type="dxa" w:w="70"/>
              <w:left w:type="dxa" w:w="100"/>
              <w:bottom w:type="dxa" w:w="70"/>
              <w:right w:type="dxa" w:w="100"/>
            </w:tcMar>
          </w:tcPr>
          <w:p>
            <w:pPr>
              <w:spacing w:after="0"/>
              <w:jc w:val="center"/>
            </w:pPr>
            <w:r>
              <w:rPr>
                <w:rFonts w:ascii="Calibri" w:cs="Calibri" w:eastAsia="Calibri" w:hAnsi="Calibri"/>
                <w:b w:val="false"/>
                <w:bCs w:val="false"/>
                <w:sz w:val="18"/>
                <w:szCs w:val="18"/>
              </w:rPr>
              <w:t xml:space="preserve">43</w:t>
            </w:r>
          </w:p>
        </w:tc>
        <w:tc>
          <w:tcPr>
            <w:tcW w:type="dxa" w:w="1000"/>
            <w:tcMar>
              <w:top w:type="dxa" w:w="70"/>
              <w:left w:type="dxa" w:w="100"/>
              <w:bottom w:type="dxa" w:w="70"/>
              <w:right w:type="dxa" w:w="100"/>
            </w:tcMar>
          </w:tcPr>
          <w:p>
            <w:pPr>
              <w:spacing w:after="0"/>
              <w:jc w:val="center"/>
            </w:pPr>
            <w:r>
              <w:rPr>
                <w:rFonts w:ascii="Calibri" w:cs="Calibri" w:eastAsia="Calibri" w:hAnsi="Calibri"/>
                <w:b w:val="false"/>
                <w:bCs w:val="false"/>
                <w:sz w:val="18"/>
                <w:szCs w:val="18"/>
              </w:rPr>
              <w:t xml:space="preserve">13</w:t>
            </w:r>
          </w:p>
        </w:tc>
        <w:tc>
          <w:tcPr>
            <w:tcW w:type="dxa" w:w="1250"/>
            <w:tcMar>
              <w:top w:type="dxa" w:w="70"/>
              <w:left w:type="dxa" w:w="100"/>
              <w:bottom w:type="dxa" w:w="70"/>
              <w:right w:type="dxa" w:w="100"/>
            </w:tcMar>
          </w:tcPr>
          <w:p>
            <w:pPr>
              <w:spacing w:after="0"/>
              <w:jc w:val="center"/>
            </w:pPr>
            <w:r>
              <w:rPr>
                <w:rFonts w:ascii="Calibri" w:cs="Calibri" w:eastAsia="Calibri" w:hAnsi="Calibri"/>
                <w:b w:val="false"/>
                <w:bCs w:val="false"/>
                <w:sz w:val="18"/>
                <w:szCs w:val="18"/>
              </w:rPr>
              <w:t xml:space="preserve">30.2 %</w:t>
            </w:r>
          </w:p>
        </w:tc>
        <w:tc>
          <w:tcPr>
            <w:tcW w:type="dxa" w:w="1326"/>
            <w:tcMar>
              <w:top w:type="dxa" w:w="70"/>
              <w:left w:type="dxa" w:w="100"/>
              <w:bottom w:type="dxa" w:w="70"/>
              <w:right w:type="dxa" w:w="100"/>
            </w:tcMar>
          </w:tcPr>
          <w:p>
            <w:pPr>
              <w:spacing w:after="0"/>
              <w:jc w:val="center"/>
            </w:pPr>
            <w:r>
              <w:rPr>
                <w:rFonts w:ascii="Calibri" w:cs="Calibri" w:eastAsia="Calibri" w:hAnsi="Calibri"/>
                <w:b w:val="false"/>
                <w:bCs w:val="false"/>
                <w:sz w:val="18"/>
                <w:szCs w:val="18"/>
              </w:rPr>
              <w:t xml:space="preserve">65.2 %</w:t>
            </w:r>
          </w:p>
        </w:tc>
      </w:tr>
    </w:tbl>
    <w:p>
      <w:pPr>
        <w:spacing w:after="200"/>
        <w:jc w:val="center"/>
      </w:pPr>
      <w:r>
        <w:rPr>
          <w:rFonts w:ascii="Calibri" w:cs="Calibri" w:eastAsia="Calibri" w:hAnsi="Calibri"/>
          <w:i/>
          <w:iCs/>
          <w:color w:val="555555"/>
          <w:sz w:val="17"/>
          <w:szCs w:val="17"/>
        </w:rPr>
        <w:t xml:space="preserve">n = 460 harbour-mornings per lead. 95 % intervals are Wilson score intervals.</w:t>
      </w:r>
    </w:p>
    <w:p>
      <w:pPr>
        <w:spacing w:after="130" w:before="60"/>
      </w:pPr>
      <w:r>
        <w:rPr>
          <w:rFonts w:ascii="Calibri" w:cs="Calibri" w:eastAsia="Calibri" w:hAnsi="Calibri"/>
          <w:b/>
          <w:bCs/>
          <w:sz w:val="21"/>
          <w:szCs w:val="21"/>
        </w:rPr>
        <w:t xml:space="preserve">Reading the hit rate. </w:t>
      </w:r>
      <w:r>
        <w:rPr>
          <w:rFonts w:ascii="Calibri" w:cs="Calibri" w:eastAsia="Calibri" w:hAnsi="Calibri"/>
          <w:sz w:val="21"/>
          <w:szCs w:val="21"/>
        </w:rPr>
        <w:t xml:space="preserve">Only 33 of the 460 harbour-mornings were do-not-sail mornings, so each one is worth about three points of hit rate. The apparent rise from 93.9 % to 97.0 % at two days is a single extra morning — 32 of 33 instead of 31 — and the three confidence intervals overlap almost entirely: on this sample the hit rate is flat within noise. The two-day forecast caught that extra morning by warning more often: 39 warnings against 32, with false alarms rising from 1 to 7. Hit rate read alone rewards over-warning — a system that always said </w:t>
      </w:r>
      <w:r>
        <w:rPr>
          <w:rFonts w:ascii="Calibri" w:cs="Calibri" w:eastAsia="Calibri" w:hAnsi="Calibri"/>
          <w:i/>
          <w:iCs/>
          <w:sz w:val="21"/>
          <w:szCs w:val="21"/>
        </w:rPr>
        <w:t xml:space="preserve">do not sail</w:t>
      </w:r>
      <w:r>
        <w:rPr>
          <w:rFonts w:ascii="Calibri" w:cs="Calibri" w:eastAsia="Calibri" w:hAnsi="Calibri"/>
          <w:sz w:val="21"/>
          <w:szCs w:val="21"/>
        </w:rPr>
        <w:t xml:space="preserve"> would score 100 % — which is why it is reported alongside the false-alarm ratio and the critical success index [10]. CSI, which counts misses and false alarms together, falls steadily with lead time (91.2 % → 80.0 % → 65.2 %), tracking the growth in wave-height forecast error (mean absolute error 0.06 → 0.10 → 0.12 m). A noisier forecast pushes more mornings across the 2.5 m limit in both directions, and because the worst parameter decides, most of those errors surface as false alarms (1 → 7 → 13) rather than misses (2 → 1 → 3).</w:t>
      </w:r>
    </w:p>
    <w:p>
      <w:pPr>
        <w:spacing w:after="130" w:before="0"/>
      </w:pPr>
      <w:r>
        <w:rPr>
          <w:rFonts w:ascii="Calibri" w:cs="Calibri" w:eastAsia="Calibri" w:hAnsi="Calibri"/>
          <w:sz w:val="21"/>
          <w:szCs w:val="21"/>
        </w:rPr>
        <w:t xml:space="preserve">The two day-ahead misses were graded </w:t>
      </w:r>
      <w:r>
        <w:rPr>
          <w:rFonts w:ascii="Calibri" w:cs="Calibri" w:eastAsia="Calibri" w:hAnsi="Calibri"/>
          <w:i/>
          <w:iCs/>
          <w:sz w:val="21"/>
          <w:szCs w:val="21"/>
        </w:rPr>
        <w:t xml:space="preserve">caution</w:t>
      </w:r>
      <w:r>
        <w:rPr>
          <w:rFonts w:ascii="Calibri" w:cs="Calibri" w:eastAsia="Calibri" w:hAnsi="Calibri"/>
          <w:sz w:val="21"/>
          <w:szCs w:val="21"/>
        </w:rPr>
        <w:t xml:space="preserve">, never </w:t>
      </w:r>
      <w:r>
        <w:rPr>
          <w:rFonts w:ascii="Calibri" w:cs="Calibri" w:eastAsia="Calibri" w:hAnsi="Calibri"/>
          <w:i/>
          <w:iCs/>
          <w:sz w:val="21"/>
          <w:szCs w:val="21"/>
        </w:rPr>
        <w:t xml:space="preserve">go</w:t>
      </w:r>
      <w:r>
        <w:rPr>
          <w:rFonts w:ascii="Calibri" w:cs="Calibri" w:eastAsia="Calibri" w:hAnsi="Calibri"/>
          <w:sz w:val="21"/>
          <w:szCs w:val="21"/>
        </w:rPr>
        <w:t xml:space="preserve"> — the asymmetry the worst-of rule is designed to produce. The day-ahead verdict is therefore presented as the decision, and longer leads as outlook. A larger sample — a full year spanning both monsoons, when the Bay of Bengal harbours also see rough seas — would narrow these intervals and is planned.</w:t>
      </w:r>
    </w:p>
    <w:p>
      <w:pPr>
        <w:spacing w:after="130" w:line="276"/>
      </w:pPr>
      <w:r>
        <w:rPr>
          <w:rFonts w:ascii="Calibri" w:cs="Calibri" w:eastAsia="Calibri" w:hAnsi="Calibri"/>
          <w:sz w:val="21"/>
          <w:szCs w:val="21"/>
        </w:rPr>
        <w:t xml:space="preserve">Measured end-to-end latency for a Tamil question is approximately 8 s, of which the two language-model stages account for 7.4 s and the safety decision for 0.0001 s.</w:t>
      </w:r>
    </w:p>
    <w:p>
      <w:pPr>
        <w:spacing w:after="90" w:before="130"/>
        <w:jc w:val="center"/>
      </w:pPr>
      <w:r>
        <w:drawing>
          <wp:inline distT="0" distB="0" distL="0" distR="0">
            <wp:extent cx="5762625"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3162300"/>
                    </a:xfrm>
                    <a:prstGeom prst="rect">
                      <a:avLst/>
                    </a:prstGeom>
                  </pic:spPr>
                </pic:pic>
              </a:graphicData>
            </a:graphic>
          </wp:inline>
        </w:drawing>
      </w:r>
    </w:p>
    <w:p>
      <w:pPr>
        <w:spacing w:after="200"/>
        <w:jc w:val="center"/>
      </w:pPr>
      <w:r>
        <w:rPr>
          <w:rFonts w:ascii="Calibri" w:cs="Calibri" w:eastAsia="Calibri" w:hAnsi="Calibri"/>
          <w:i/>
          <w:iCs/>
          <w:color w:val="555555"/>
          <w:sz w:val="17"/>
          <w:szCs w:val="17"/>
        </w:rPr>
        <w:t xml:space="preserve">Figure 2 — one Tamil question, measured end to end.</w:t>
      </w:r>
    </w:p>
    <w:p>
      <w:pPr>
        <w:pStyle w:val="Heading1"/>
        <w:spacing w:after="140" w:before="300"/>
      </w:pPr>
      <w:r>
        <w:rPr>
          <w:rFonts w:ascii="Calibri" w:cs="Calibri" w:eastAsia="Calibri" w:hAnsi="Calibri"/>
        </w:rPr>
        <w:t xml:space="preserve">6.  Remaining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5400"/>
        <w:gridCol w:w="2526"/>
      </w:tblGrid>
      <w:tr>
        <w:trPr>
          <w:tblHeader/>
        </w:trPr>
        <w:tc>
          <w:tcPr>
            <w:tcW w:type="dxa" w:w="1100"/>
            <w:shd w:fill="DCE6F1" w:color="auto" w:val="clear"/>
            <w:tcMar>
              <w:top w:type="dxa" w:w="70"/>
              <w:left w:type="dxa" w:w="100"/>
              <w:bottom w:type="dxa" w:w="70"/>
              <w:right w:type="dxa" w:w="100"/>
            </w:tcMar>
          </w:tcPr>
          <w:p>
            <w:pPr>
              <w:spacing w:after="0"/>
              <w:jc w:val="center"/>
            </w:pPr>
            <w:r>
              <w:rPr>
                <w:rFonts w:ascii="Calibri" w:cs="Calibri" w:eastAsia="Calibri" w:hAnsi="Calibri"/>
                <w:b/>
                <w:bCs/>
                <w:sz w:val="18"/>
                <w:szCs w:val="18"/>
              </w:rPr>
              <w:t xml:space="preserve">Phase</w:t>
            </w:r>
          </w:p>
        </w:tc>
        <w:tc>
          <w:tcPr>
            <w:tcW w:type="dxa" w:w="5400"/>
            <w:shd w:fill="DCE6F1" w:color="auto" w:val="clear"/>
            <w:tcMar>
              <w:top w:type="dxa" w:w="70"/>
              <w:left w:type="dxa" w:w="100"/>
              <w:bottom w:type="dxa" w:w="70"/>
              <w:right w:type="dxa" w:w="100"/>
            </w:tcMar>
          </w:tcPr>
          <w:p>
            <w:pPr>
              <w:spacing w:after="0"/>
              <w:jc w:val="center"/>
            </w:pPr>
            <w:r>
              <w:rPr>
                <w:rFonts w:ascii="Calibri" w:cs="Calibri" w:eastAsia="Calibri" w:hAnsi="Calibri"/>
                <w:b/>
                <w:bCs/>
                <w:sz w:val="18"/>
                <w:szCs w:val="18"/>
              </w:rPr>
              <w:t xml:space="preserve">Work</w:t>
            </w:r>
          </w:p>
        </w:tc>
        <w:tc>
          <w:tcPr>
            <w:tcW w:type="dxa" w:w="2526"/>
            <w:shd w:fill="DCE6F1" w:color="auto" w:val="clear"/>
            <w:tcMar>
              <w:top w:type="dxa" w:w="70"/>
              <w:left w:type="dxa" w:w="100"/>
              <w:bottom w:type="dxa" w:w="70"/>
              <w:right w:type="dxa" w:w="100"/>
            </w:tcMar>
          </w:tcPr>
          <w:p>
            <w:pPr>
              <w:spacing w:after="0"/>
              <w:jc w:val="center"/>
            </w:pPr>
            <w:r>
              <w:rPr>
                <w:rFonts w:ascii="Calibri" w:cs="Calibri" w:eastAsia="Calibri" w:hAnsi="Calibri"/>
                <w:b/>
                <w:bCs/>
                <w:sz w:val="18"/>
                <w:szCs w:val="18"/>
              </w:rPr>
              <w:t xml:space="preserve">Status</w:t>
            </w:r>
          </w:p>
        </w:tc>
      </w:tr>
      <w:tr>
        <w:trPr>
          <w:tblHeader w:val="false"/>
        </w:trPr>
        <w:tc>
          <w:tcPr>
            <w:tcW w:type="dxa" w:w="1100"/>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5</w:t>
            </w:r>
          </w:p>
        </w:tc>
        <w:tc>
          <w:tcPr>
            <w:tcW w:type="dxa" w:w="5400"/>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Bhashini round trip with IndicTrans2 fallback; A* route optimisation; causal productivity query</w:t>
            </w:r>
          </w:p>
        </w:tc>
        <w:tc>
          <w:tcPr>
            <w:tcW w:type="dxa" w:w="2526"/>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In progress</w:t>
            </w:r>
          </w:p>
        </w:tc>
      </w:tr>
      <w:tr>
        <w:trPr>
          <w:tblHeader w:val="false"/>
        </w:trPr>
        <w:tc>
          <w:tcPr>
            <w:tcW w:type="dxa" w:w="1100"/>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6</w:t>
            </w:r>
          </w:p>
        </w:tc>
        <w:tc>
          <w:tcPr>
            <w:tcW w:type="dxa" w:w="5400"/>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Offline hardening, error states, five-location regression, rehearsal</w:t>
            </w:r>
          </w:p>
        </w:tc>
        <w:tc>
          <w:tcPr>
            <w:tcW w:type="dxa" w:w="2526"/>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Pending</w:t>
            </w:r>
          </w:p>
        </w:tc>
      </w:tr>
      <w:tr>
        <w:trPr>
          <w:tblHeader w:val="false"/>
        </w:trPr>
        <w:tc>
          <w:tcPr>
            <w:tcW w:type="dxa" w:w="1100"/>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w:t>
            </w:r>
          </w:p>
        </w:tc>
        <w:tc>
          <w:tcPr>
            <w:tcW w:type="dxa" w:w="5400"/>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Calibrate thresholds against INCOIS SVAS criteria [9]</w:t>
            </w:r>
          </w:p>
        </w:tc>
        <w:tc>
          <w:tcPr>
            <w:tcW w:type="dxa" w:w="2526"/>
            <w:tcMar>
              <w:top w:type="dxa" w:w="70"/>
              <w:left w:type="dxa" w:w="100"/>
              <w:bottom w:type="dxa" w:w="70"/>
              <w:right w:type="dxa" w:w="100"/>
            </w:tcMar>
          </w:tcPr>
          <w:p>
            <w:pPr>
              <w:spacing w:after="0"/>
              <w:jc w:val="left"/>
            </w:pPr>
            <w:r>
              <w:rPr>
                <w:rFonts w:ascii="Calibri" w:cs="Calibri" w:eastAsia="Calibri" w:hAnsi="Calibri"/>
                <w:b/>
                <w:bCs/>
                <w:sz w:val="21"/>
                <w:szCs w:val="21"/>
              </w:rPr>
              <w:t xml:space="preserve">Blocked</w:t>
            </w:r>
            <w:r>
              <w:rPr>
                <w:rFonts w:ascii="Calibri" w:cs="Calibri" w:eastAsia="Calibri" w:hAnsi="Calibri"/>
                <w:b w:val="false"/>
                <w:bCs w:val="false"/>
                <w:sz w:val="18"/>
                <w:szCs w:val="18"/>
              </w:rPr>
              <w:t xml:space="preserve"> — criteria not published numerically</w:t>
            </w:r>
          </w:p>
        </w:tc>
      </w:tr>
      <w:tr>
        <w:trPr>
          <w:tblHeader w:val="false"/>
        </w:trPr>
        <w:tc>
          <w:tcPr>
            <w:tcW w:type="dxa" w:w="1100"/>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w:t>
            </w:r>
          </w:p>
        </w:tc>
        <w:tc>
          <w:tcPr>
            <w:tcW w:type="dxa" w:w="5400"/>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IMD API key for lightning and cyclone parameters</w:t>
            </w:r>
          </w:p>
        </w:tc>
        <w:tc>
          <w:tcPr>
            <w:tcW w:type="dxa" w:w="2526"/>
            <w:tcMar>
              <w:top w:type="dxa" w:w="70"/>
              <w:left w:type="dxa" w:w="100"/>
              <w:bottom w:type="dxa" w:w="70"/>
              <w:right w:type="dxa" w:w="100"/>
            </w:tcMar>
          </w:tcPr>
          <w:p>
            <w:pPr>
              <w:spacing w:after="0"/>
              <w:jc w:val="left"/>
            </w:pPr>
            <w:r>
              <w:rPr>
                <w:rFonts w:ascii="Calibri" w:cs="Calibri" w:eastAsia="Calibri" w:hAnsi="Calibri"/>
                <w:b/>
                <w:bCs/>
                <w:sz w:val="21"/>
                <w:szCs w:val="21"/>
              </w:rPr>
              <w:t xml:space="preserve">Blocked</w:t>
            </w:r>
            <w:r>
              <w:rPr>
                <w:rFonts w:ascii="Calibri" w:cs="Calibri" w:eastAsia="Calibri" w:hAnsi="Calibri"/>
                <w:b w:val="false"/>
                <w:bCs w:val="false"/>
                <w:sz w:val="18"/>
                <w:szCs w:val="18"/>
              </w:rPr>
              <w:t xml:space="preserve"> — requires institutional letter</w:t>
            </w:r>
          </w:p>
        </w:tc>
      </w:tr>
      <w:tr>
        <w:trPr>
          <w:tblHeader w:val="false"/>
        </w:trPr>
        <w:tc>
          <w:tcPr>
            <w:tcW w:type="dxa" w:w="1100"/>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w:t>
            </w:r>
          </w:p>
        </w:tc>
        <w:tc>
          <w:tcPr>
            <w:tcW w:type="dxa" w:w="5400"/>
            <w:tcMar>
              <w:top w:type="dxa" w:w="70"/>
              <w:left w:type="dxa" w:w="100"/>
              <w:bottom w:type="dxa" w:w="70"/>
              <w:right w:type="dxa" w:w="100"/>
            </w:tcMar>
          </w:tcPr>
          <w:p>
            <w:pPr>
              <w:spacing w:after="0"/>
              <w:jc w:val="left"/>
            </w:pPr>
            <w:r>
              <w:rPr>
                <w:rFonts w:ascii="Calibri" w:cs="Calibri" w:eastAsia="Calibri" w:hAnsi="Calibri"/>
                <w:b w:val="false"/>
                <w:bCs w:val="false"/>
                <w:sz w:val="18"/>
                <w:szCs w:val="18"/>
              </w:rPr>
              <w:t xml:space="preserve">Buoy observations to replace analysis as evaluation truth</w:t>
            </w:r>
          </w:p>
        </w:tc>
        <w:tc>
          <w:tcPr>
            <w:tcW w:type="dxa" w:w="2526"/>
            <w:tcMar>
              <w:top w:type="dxa" w:w="70"/>
              <w:left w:type="dxa" w:w="100"/>
              <w:bottom w:type="dxa" w:w="70"/>
              <w:right w:type="dxa" w:w="100"/>
            </w:tcMar>
          </w:tcPr>
          <w:p>
            <w:pPr>
              <w:spacing w:after="0"/>
              <w:jc w:val="left"/>
            </w:pPr>
            <w:r>
              <w:rPr>
                <w:rFonts w:ascii="Calibri" w:cs="Calibri" w:eastAsia="Calibri" w:hAnsi="Calibri"/>
                <w:b/>
                <w:bCs/>
                <w:sz w:val="21"/>
                <w:szCs w:val="21"/>
              </w:rPr>
              <w:t xml:space="preserve">Blocked</w:t>
            </w:r>
            <w:r>
              <w:rPr>
                <w:rFonts w:ascii="Calibri" w:cs="Calibri" w:eastAsia="Calibri" w:hAnsi="Calibri"/>
                <w:b w:val="false"/>
                <w:bCs w:val="false"/>
                <w:sz w:val="18"/>
                <w:szCs w:val="18"/>
              </w:rPr>
              <w:t xml:space="preserve"> — requires INCOIS/NIOT data access</w:t>
            </w:r>
          </w:p>
        </w:tc>
      </w:tr>
    </w:tbl>
    <w:p>
      <w:pPr>
        <w:pStyle w:val="Heading1"/>
        <w:spacing w:after="140" w:before="300"/>
      </w:pPr>
      <w:r>
        <w:rPr>
          <w:rFonts w:ascii="Calibri" w:cs="Calibri" w:eastAsia="Calibri" w:hAnsi="Calibri"/>
        </w:rPr>
        <w:t xml:space="preserve">References</w:t>
      </w:r>
    </w:p>
    <w:p>
      <w:pPr>
        <w:pStyle w:val="Heading2"/>
        <w:spacing w:after="100" w:before="220"/>
      </w:pPr>
      <w:r>
        <w:rPr>
          <w:rFonts w:ascii="Calibri" w:cs="Calibri" w:eastAsia="Calibri" w:hAnsi="Calibri"/>
        </w:rPr>
        <w:t xml:space="preserve">Literature reviewed</w:t>
      </w:r>
    </w:p>
    <w:p>
      <w:pPr>
        <w:spacing w:after="100" w:line="264"/>
        <w:ind w:left="420" w:hanging="420"/>
      </w:pPr>
      <w:r>
        <w:rPr>
          <w:rFonts w:ascii="Calibri" w:cs="Calibri" w:eastAsia="Calibri" w:hAnsi="Calibri"/>
          <w:b/>
          <w:bCs/>
          <w:sz w:val="19"/>
          <w:szCs w:val="19"/>
        </w:rPr>
        <w:t xml:space="preserve">[1]  </w:t>
      </w:r>
      <w:r>
        <w:rPr>
          <w:rFonts w:ascii="Calibri" w:cs="Calibri" w:eastAsia="Calibri" w:hAnsi="Calibri"/>
          <w:sz w:val="19"/>
          <w:szCs w:val="19"/>
        </w:rPr>
        <w:t xml:space="preserve">P. H. Kurup, S. Abhilash, S. Mavath, V. K. Mini, N. Alamirew, and M. Martin, “Validation of localised coastal wind forecasts for artisan fishers of southwestern India,” Weather, vol. 79, no. 7, pp. 231–241, 2024. doi: 10.1002/wea.4554</w:t>
      </w:r>
    </w:p>
    <w:p>
      <w:pPr>
        <w:spacing w:after="100" w:line="264"/>
        <w:ind w:left="420" w:hanging="420"/>
      </w:pPr>
      <w:r>
        <w:rPr>
          <w:rFonts w:ascii="Calibri" w:cs="Calibri" w:eastAsia="Calibri" w:hAnsi="Calibri"/>
          <w:b/>
          <w:bCs/>
          <w:sz w:val="19"/>
          <w:szCs w:val="19"/>
        </w:rPr>
        <w:t xml:space="preserve">[2]  </w:t>
      </w:r>
      <w:r>
        <w:rPr>
          <w:rFonts w:ascii="Calibri" w:cs="Calibri" w:eastAsia="Calibri" w:hAnsi="Calibri"/>
          <w:sz w:val="19"/>
          <w:szCs w:val="19"/>
        </w:rPr>
        <w:t xml:space="preserve">R. K. Sarangi, M. Jishad, R. Sharma, et al., “Multiple ocean parameter-based potential fishing zone (PFZ) location generation and validation in the Western Bay of Bengal,” Environmental Monitoring and Assessment, vol. 196, no. 1, art. 98, 2024. doi: 10.1007/s10661-023-12259-6</w:t>
      </w:r>
    </w:p>
    <w:p>
      <w:pPr>
        <w:spacing w:after="100" w:line="264"/>
        <w:ind w:left="420" w:hanging="420"/>
      </w:pPr>
      <w:r>
        <w:rPr>
          <w:rFonts w:ascii="Calibri" w:cs="Calibri" w:eastAsia="Calibri" w:hAnsi="Calibri"/>
          <w:b/>
          <w:bCs/>
          <w:sz w:val="19"/>
          <w:szCs w:val="19"/>
        </w:rPr>
        <w:t xml:space="preserve">[3]  </w:t>
      </w:r>
      <w:r>
        <w:rPr>
          <w:rFonts w:ascii="Calibri" w:cs="Calibri" w:eastAsia="Calibri" w:hAnsi="Calibri"/>
          <w:sz w:val="19"/>
          <w:szCs w:val="19"/>
        </w:rPr>
        <w:t xml:space="preserve">S. K. Saka, A. E. Mathew, V. Ganesh, et al., “A Web-GIS and mobile-based application for a safe ocean for fishers,” Marine Technology Society Journal, vol. 55, no. 3, pp. 50–57, 2021. doi: 10.4031/MTSJ.55.3.10</w:t>
      </w:r>
    </w:p>
    <w:p>
      <w:pPr>
        <w:spacing w:after="100" w:line="264"/>
        <w:ind w:left="420" w:hanging="420"/>
      </w:pPr>
      <w:r>
        <w:rPr>
          <w:rFonts w:ascii="Calibri" w:cs="Calibri" w:eastAsia="Calibri" w:hAnsi="Calibri"/>
          <w:b/>
          <w:bCs/>
          <w:sz w:val="19"/>
          <w:szCs w:val="19"/>
        </w:rPr>
        <w:t xml:space="preserve">[4]  </w:t>
      </w:r>
      <w:r>
        <w:rPr>
          <w:rFonts w:ascii="Calibri" w:cs="Calibri" w:eastAsia="Calibri" w:hAnsi="Calibri"/>
          <w:sz w:val="19"/>
          <w:szCs w:val="19"/>
        </w:rPr>
        <w:t xml:space="preserve">N. J. Anabel, S. Velvizhi, and D. Suvitha, “Fisher Friend Mobile Application: a decision support system for small scale fishers in India,” CSI Transactions on ICT, vol. 6, no. 3–4, pp. 257–267, 2018. doi: 10.1007/s40012-018-0212-1</w:t>
      </w:r>
    </w:p>
    <w:p>
      <w:pPr>
        <w:spacing w:after="100" w:line="264"/>
        <w:ind w:left="420" w:hanging="420"/>
      </w:pPr>
      <w:r>
        <w:rPr>
          <w:rFonts w:ascii="Calibri" w:cs="Calibri" w:eastAsia="Calibri" w:hAnsi="Calibri"/>
          <w:b/>
          <w:bCs/>
          <w:sz w:val="19"/>
          <w:szCs w:val="19"/>
        </w:rPr>
        <w:t xml:space="preserve">[5]  </w:t>
      </w:r>
      <w:r>
        <w:rPr>
          <w:rFonts w:ascii="Calibri" w:cs="Calibri" w:eastAsia="Calibri" w:hAnsi="Calibri"/>
          <w:sz w:val="19"/>
          <w:szCs w:val="19"/>
        </w:rPr>
        <w:t xml:space="preserve">S. Vincent, “Palk Bay fishing problem requires Indo-Sri Lankan joint-governance,” Maritime Affairs: Journal of the National Maritime Foundation of India, vol. 16, no. 2, pp. 71–88, 2020. doi: 10.1080/09733159.2020.1838717</w:t>
      </w:r>
    </w:p>
    <w:p>
      <w:pPr>
        <w:spacing w:after="100" w:line="264"/>
        <w:ind w:left="420" w:hanging="420"/>
      </w:pPr>
      <w:r>
        <w:rPr>
          <w:rFonts w:ascii="Calibri" w:cs="Calibri" w:eastAsia="Calibri" w:hAnsi="Calibri"/>
          <w:b/>
          <w:bCs/>
          <w:sz w:val="19"/>
          <w:szCs w:val="19"/>
        </w:rPr>
        <w:t xml:space="preserve">[6]  </w:t>
      </w:r>
      <w:r>
        <w:rPr>
          <w:rFonts w:ascii="Calibri" w:cs="Calibri" w:eastAsia="Calibri" w:hAnsi="Calibri"/>
          <w:sz w:val="19"/>
          <w:szCs w:val="19"/>
        </w:rPr>
        <w:t xml:space="preserve">P. Lewis, E. Perez, A. Piktus, et al., “Retrieval-augmented generation for knowledge-intensive NLP tasks,” in Adv. Neural Inf. Process. Syst. (NeurIPS), vol. 33, pp. 9459–9474, 2020.</w:t>
      </w:r>
    </w:p>
    <w:p>
      <w:pPr>
        <w:spacing w:after="100" w:line="264"/>
        <w:ind w:left="420" w:hanging="420"/>
      </w:pPr>
      <w:r>
        <w:rPr>
          <w:rFonts w:ascii="Calibri" w:cs="Calibri" w:eastAsia="Calibri" w:hAnsi="Calibri"/>
          <w:b/>
          <w:bCs/>
          <w:sz w:val="19"/>
          <w:szCs w:val="19"/>
        </w:rPr>
        <w:t xml:space="preserve">[7]  </w:t>
      </w:r>
      <w:r>
        <w:rPr>
          <w:rFonts w:ascii="Calibri" w:cs="Calibri" w:eastAsia="Calibri" w:hAnsi="Calibri"/>
          <w:sz w:val="19"/>
          <w:szCs w:val="19"/>
        </w:rPr>
        <w:t xml:space="preserve">C. Niu, Y. Wu, J. Zhu, S. Xu, K. Shum, R. Zhong, J. Song, and T. Zhang, “RAGTruth: A hallucination corpus for developing trustworthy retrieval-augmented language models,” in Proc. 62nd Annu. Meeting Assoc. Comput. Linguistics (ACL), vol. 1, pp. 10862–10878, 2024.</w:t>
      </w:r>
    </w:p>
    <w:p>
      <w:pPr>
        <w:spacing w:after="100" w:line="264"/>
        <w:ind w:left="420" w:hanging="420"/>
      </w:pPr>
      <w:r>
        <w:rPr>
          <w:rFonts w:ascii="Calibri" w:cs="Calibri" w:eastAsia="Calibri" w:hAnsi="Calibri"/>
          <w:b/>
          <w:bCs/>
          <w:sz w:val="19"/>
          <w:szCs w:val="19"/>
        </w:rPr>
        <w:t xml:space="preserve">[8]  </w:t>
      </w:r>
      <w:r>
        <w:rPr>
          <w:rFonts w:ascii="Calibri" w:cs="Calibri" w:eastAsia="Calibri" w:hAnsi="Calibri"/>
          <w:sz w:val="19"/>
          <w:szCs w:val="19"/>
        </w:rPr>
        <w:t xml:space="preserve">J. Gala, P. A. Chitale, R. AK, et al., “IndicTrans2: Towards high-quality and accessible machine translation models for all 22 scheduled Indian languages,” Transactions on Machine Learning Research (TMLR), 2023. arXiv:2305.16307</w:t>
      </w:r>
    </w:p>
    <w:p>
      <w:pPr>
        <w:pStyle w:val="Heading2"/>
        <w:spacing w:after="100" w:before="220"/>
      </w:pPr>
      <w:r>
        <w:rPr>
          <w:rFonts w:ascii="Calibri" w:cs="Calibri" w:eastAsia="Calibri" w:hAnsi="Calibri"/>
        </w:rPr>
        <w:t xml:space="preserve">Methodology references</w:t>
      </w:r>
    </w:p>
    <w:p>
      <w:pPr>
        <w:spacing w:after="100" w:line="264"/>
        <w:ind w:left="420" w:hanging="420"/>
      </w:pPr>
      <w:r>
        <w:rPr>
          <w:rFonts w:ascii="Calibri" w:cs="Calibri" w:eastAsia="Calibri" w:hAnsi="Calibri"/>
          <w:b/>
          <w:bCs/>
          <w:sz w:val="19"/>
          <w:szCs w:val="19"/>
        </w:rPr>
        <w:t xml:space="preserve">[9]  </w:t>
      </w:r>
      <w:r>
        <w:rPr>
          <w:rFonts w:ascii="Calibri" w:cs="Calibri" w:eastAsia="Calibri" w:hAnsi="Calibri"/>
          <w:sz w:val="19"/>
          <w:szCs w:val="19"/>
        </w:rPr>
        <w:t xml:space="preserve">Indian National Centre for Ocean Information Services, “Small Vessel Advisory and Forecast Services (SVAS),” INCOIS Ocean State Forecast portal. Available: https://incois.gov.in/portal/osf/SVA_overview.jsp</w:t>
      </w:r>
    </w:p>
    <w:p>
      <w:pPr>
        <w:spacing w:after="100" w:line="264"/>
        <w:ind w:left="420" w:hanging="420"/>
      </w:pPr>
      <w:r>
        <w:rPr>
          <w:rFonts w:ascii="Calibri" w:cs="Calibri" w:eastAsia="Calibri" w:hAnsi="Calibri"/>
          <w:b/>
          <w:bCs/>
          <w:sz w:val="19"/>
          <w:szCs w:val="19"/>
        </w:rPr>
        <w:t xml:space="preserve">[10]  </w:t>
      </w:r>
      <w:r>
        <w:rPr>
          <w:rFonts w:ascii="Calibri" w:cs="Calibri" w:eastAsia="Calibri" w:hAnsi="Calibri"/>
          <w:sz w:val="19"/>
          <w:szCs w:val="19"/>
        </w:rPr>
        <w:t xml:space="preserve">I. T. Jolliffe and D. B. Stephenson, Forecast Verification: A Practitioner's Guide in Atmospheric Science, 2nd ed. Chichester, UK: Wiley-Blackwell, 2012.</w:t>
      </w:r>
    </w:p>
    <w:sectPr>
      <w:pgSz w:w="11906" w:h="16838" w:orient="portrait"/>
      <w:pgMar w:top="1100" w:right="1120" w:bottom="1100" w:left="11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00" w:before="220"/>
      <w:outlineLvl w:val="1"/>
    </w:pPr>
    <w:rPr>
      <w:rFonts w:ascii="Calibri" w:cs="Calibri" w:eastAsia="Calibri" w:hAnsi="Calibri"/>
      <w:b/>
      <w:bCs/>
      <w:color w:val="2E5A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d919eec956f2ff36b18140f36acf295a6a50ee4.png"/><Relationship Id="rId8" Type="http://schemas.openxmlformats.org/officeDocument/2006/relationships/image" Target="media/f3ab3ba0667f90bcc533f1d8df76954593a1d66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2026-10-15T21:10:52.272Z</dcterms:created>
  <dcterms:modified xsi:type="dcterms:W3CDTF">2026-10-15T21:10:52.273Z</dcterms:modified>
</cp:coreProperties>
</file>

<file path=docProps/custom.xml><?xml version="1.0" encoding="utf-8"?>
<Properties xmlns="http://schemas.openxmlformats.org/officeDocument/2006/custom-properties" xmlns:vt="http://schemas.openxmlformats.org/officeDocument/2006/docPropsVTypes"/>
</file>