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Institutional partnership proposal</w:t>
      </w:r>
    </w:p>
    <w:p>
      <w:r>
        <w:t>CampusBridge Demo to Simulated Ahmedabad University 426</w:t>
        <w:br/>
        <w:t>Prepared by Harsh Vardhan Tomar | Portfolio simulation | 30 September 2026</w:t>
      </w:r>
    </w:p>
    <w:p>
      <w:r>
        <w:t>We propose a 12-month institutional discovery and enquiry-management campaign to help your admissions team understand prospective-student interest and follow up consistently. This sample proposal relates to opportunity O0426. It is a fictional commercial discussion, not an offer to a real university.</w:t>
      </w:r>
    </w:p>
    <w:p>
      <w:pPr>
        <w:pStyle w:val="Heading1"/>
      </w:pPr>
      <w:r>
        <w:t>Proposed scope</w:t>
      </w:r>
    </w:p>
    <w:p>
      <w:pPr>
        <w:pStyle w:val="ListBullet"/>
      </w:pPr>
      <w:r>
        <w:t>Institution profile and programme pages with admission requirements, approved content and enquiry routing.</w:t>
      </w:r>
    </w:p>
    <w:p>
      <w:pPr>
        <w:pStyle w:val="ListBullet"/>
      </w:pPr>
      <w:r>
        <w:t>Two admissions webinars per quarter, supported by institution-approved campaign materials.</w:t>
      </w:r>
    </w:p>
    <w:p>
      <w:pPr>
        <w:pStyle w:val="ListBullet"/>
      </w:pPr>
      <w:r>
        <w:t>Monthly reporting on consented enquiries, response times, qualified applicants and application completion.</w:t>
      </w:r>
    </w:p>
    <w:p>
      <w:pPr>
        <w:pStyle w:val="ListBullet"/>
      </w:pPr>
      <w:r>
        <w:t>Weekly lead-quality review with an assigned admissions coordinator and a shared issue log.</w:t>
      </w:r>
    </w:p>
    <w:p>
      <w:pPr>
        <w:pStyle w:val="Heading1"/>
      </w:pPr>
      <w:r>
        <w:t>Commercial assumptions</w:t>
      </w:r>
    </w:p>
    <w:tbl>
      <w:tblPr>
        <w:tblStyle w:val="LightShading-Accent1"/>
        <w:tblW w:type="auto" w:w="0"/>
        <w:tblLook w:firstColumn="1" w:firstRow="1" w:lastColumn="0" w:lastRow="0" w:noHBand="0" w:noVBand="1" w:val="04A0"/>
      </w:tblPr>
      <w:tblGrid>
        <w:gridCol w:w="5040"/>
        <w:gridCol w:w="5040"/>
      </w:tblGrid>
      <w:tr>
        <w:tc>
          <w:tcPr>
            <w:tcW w:type="dxa" w:w="5040"/>
          </w:tcPr>
          <w:p>
            <w:r>
              <w:t>Item</w:t>
            </w:r>
          </w:p>
        </w:tc>
        <w:tc>
          <w:tcPr>
            <w:tcW w:type="dxa" w:w="5040"/>
          </w:tcPr>
          <w:p>
            <w:r>
              <w:t>Proposed basis</w:t>
            </w:r>
          </w:p>
        </w:tc>
      </w:tr>
      <w:tr>
        <w:tc>
          <w:tcPr>
            <w:tcW w:type="dxa" w:w="5040"/>
          </w:tcPr>
          <w:p>
            <w:r>
              <w:t>Annual service fee</w:t>
            </w:r>
          </w:p>
        </w:tc>
        <w:tc>
          <w:tcPr>
            <w:tcW w:type="dxa" w:w="5040"/>
          </w:tcPr>
          <w:p>
            <w:r>
              <w:t>INR 1,223,000 excluding applicable taxes</w:t>
            </w:r>
          </w:p>
        </w:tc>
      </w:tr>
      <w:tr>
        <w:tc>
          <w:tcPr>
            <w:tcW w:type="dxa" w:w="5040"/>
          </w:tcPr>
          <w:p>
            <w:r>
              <w:t>Term</w:t>
            </w:r>
          </w:p>
        </w:tc>
        <w:tc>
          <w:tcPr>
            <w:tcW w:type="dxa" w:w="5040"/>
          </w:tcPr>
          <w:p>
            <w:r>
              <w:t>365 days beginning on agreed signature and service activation</w:t>
            </w:r>
          </w:p>
        </w:tc>
      </w:tr>
      <w:tr>
        <w:tc>
          <w:tcPr>
            <w:tcW w:type="dxa" w:w="5040"/>
          </w:tcPr>
          <w:p>
            <w:r>
              <w:t>Invoicing assumption</w:t>
            </w:r>
          </w:p>
        </w:tc>
        <w:tc>
          <w:tcPr>
            <w:tcW w:type="dxa" w:w="5040"/>
          </w:tcPr>
          <w:p>
            <w:r>
              <w:t>25% at activation and 25% at the start of each subsequent quarter</w:t>
            </w:r>
          </w:p>
        </w:tc>
      </w:tr>
      <w:tr>
        <w:tc>
          <w:tcPr>
            <w:tcW w:type="dxa" w:w="5040"/>
          </w:tcPr>
          <w:p>
            <w:r>
              <w:t>Paid media</w:t>
            </w:r>
          </w:p>
        </w:tc>
        <w:tc>
          <w:tcPr>
            <w:tcW w:type="dxa" w:w="5040"/>
          </w:tcPr>
          <w:p>
            <w:r>
              <w:t>Excluded; separate written approval and budget required</w:t>
            </w:r>
          </w:p>
        </w:tc>
      </w:tr>
      <w:tr>
        <w:tc>
          <w:tcPr>
            <w:tcW w:type="dxa" w:w="5040"/>
          </w:tcPr>
          <w:p>
            <w:r>
              <w:t>Sales status</w:t>
            </w:r>
          </w:p>
        </w:tc>
        <w:tc>
          <w:tcPr>
            <w:tcW w:type="dxa" w:w="5040"/>
          </w:tcPr>
          <w:p>
            <w:r>
              <w:t>Open opportunity; the proposed fee is not booked revenue</w:t>
            </w:r>
          </w:p>
        </w:tc>
      </w:tr>
    </w:tbl>
    <w:p>
      <w:pPr>
        <w:pStyle w:val="Heading1"/>
      </w:pPr>
      <w:r>
        <w:t>Potential benefit and measurement</w:t>
      </w:r>
    </w:p>
    <w:p>
      <w:r>
        <w:t>The programme is intended to improve visibility into the enquiry funnel and make admissions follow-up measurable. No enrolment uplift or revenue return is promised. The first 30 days establish a baseline before the parties approve campaign-volume goals.</w:t>
      </w:r>
    </w:p>
    <w:p>
      <w:r>
        <w:br w:type="page"/>
      </w:r>
    </w:p>
    <w:p>
      <w:pPr>
        <w:pStyle w:val="Title"/>
      </w:pPr>
      <w:r>
        <w:t>Delivery and success criteria</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Period</w:t>
            </w:r>
          </w:p>
        </w:tc>
        <w:tc>
          <w:tcPr>
            <w:tcW w:type="dxa" w:w="3360"/>
          </w:tcPr>
          <w:p>
            <w:r>
              <w:t>Deliverable</w:t>
            </w:r>
          </w:p>
        </w:tc>
        <w:tc>
          <w:tcPr>
            <w:tcW w:type="dxa" w:w="3360"/>
          </w:tcPr>
          <w:p>
            <w:r>
              <w:t>Acceptance measure</w:t>
            </w:r>
          </w:p>
        </w:tc>
      </w:tr>
      <w:tr>
        <w:tc>
          <w:tcPr>
            <w:tcW w:type="dxa" w:w="3360"/>
          </w:tcPr>
          <w:p>
            <w:r>
              <w:t>Days 1–30</w:t>
            </w:r>
          </w:p>
        </w:tc>
        <w:tc>
          <w:tcPr>
            <w:tcW w:type="dxa" w:w="3360"/>
          </w:tcPr>
          <w:p>
            <w:r>
              <w:t>Profile, routing and consent review</w:t>
            </w:r>
          </w:p>
        </w:tc>
        <w:tc>
          <w:tcPr>
            <w:tcW w:type="dxa" w:w="3360"/>
          </w:tcPr>
          <w:p>
            <w:r>
              <w:t>University approves content and tests enquiry delivery</w:t>
            </w:r>
          </w:p>
        </w:tc>
      </w:tr>
      <w:tr>
        <w:tc>
          <w:tcPr>
            <w:tcW w:type="dxa" w:w="3360"/>
          </w:tcPr>
          <w:p>
            <w:r>
              <w:t>Months 2–3</w:t>
            </w:r>
          </w:p>
        </w:tc>
        <w:tc>
          <w:tcPr>
            <w:tcW w:type="dxa" w:w="3360"/>
          </w:tcPr>
          <w:p>
            <w:r>
              <w:t>Campaign launch and baseline review</w:t>
            </w:r>
          </w:p>
        </w:tc>
        <w:tc>
          <w:tcPr>
            <w:tcW w:type="dxa" w:w="3360"/>
          </w:tcPr>
          <w:p>
            <w:r>
              <w:t>Weekly reporting complete; duplicate and invalid leads classified</w:t>
            </w:r>
          </w:p>
        </w:tc>
      </w:tr>
      <w:tr>
        <w:tc>
          <w:tcPr>
            <w:tcW w:type="dxa" w:w="3360"/>
          </w:tcPr>
          <w:p>
            <w:r>
              <w:t>Months 4–12</w:t>
            </w:r>
          </w:p>
        </w:tc>
        <w:tc>
          <w:tcPr>
            <w:tcW w:type="dxa" w:w="3360"/>
          </w:tcPr>
          <w:p>
            <w:r>
              <w:t>Campaign optimisation and quarterly review</w:t>
            </w:r>
          </w:p>
        </w:tc>
        <w:tc>
          <w:tcPr>
            <w:tcW w:type="dxa" w:w="3360"/>
          </w:tcPr>
          <w:p>
            <w:r>
              <w:t>Agreed activities delivered and corrective actions tracked</w:t>
            </w:r>
          </w:p>
        </w:tc>
      </w:tr>
    </w:tbl>
    <w:p>
      <w:pPr>
        <w:pStyle w:val="Heading1"/>
      </w:pPr>
      <w:r>
        <w:t>Proposed service measures</w:t>
      </w:r>
    </w:p>
    <w:p>
      <w:r>
        <w:t>Operational targets to negotiate: route 95% of valid enquiries within one working day, achieve complete source tagging for 98% of routed enquiries, and deliver one management report each month. These are proposed targets, not historical performance. Enrolment conversion is reported as verified enrolments divided by eligible enquiries, with the agreed attribution window shown.</w:t>
      </w:r>
    </w:p>
    <w:p>
      <w:pPr>
        <w:pStyle w:val="Heading1"/>
      </w:pPr>
      <w:r>
        <w:t>Responsibilities and safeguards</w:t>
      </w:r>
    </w:p>
    <w:p>
      <w:r>
        <w:t>The university approves content, supplies accurate programme information and appoints an admissions owner. CampusBridge Demo maintains campaign reporting and records consent and source information. A real agreement would specify data access, retention, grievance handling, service scope, taxes and termination terms. Student contact data is absent from this portfolio dataset.</w:t>
      </w:r>
    </w:p>
    <w:p>
      <w:pPr>
        <w:pStyle w:val="Heading1"/>
      </w:pPr>
      <w:r>
        <w:t>Decision requested</w:t>
      </w:r>
    </w:p>
    <w:p>
      <w:r>
        <w:t>Arrange a discovery meeting to confirm programme priorities, available capacity and a baseline measurement plan. Agree scope and pricing only after procurement review. This proposal does not change the opportunity to Closed Won.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