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Sales performance business review</w:t>
      </w:r>
    </w:p>
    <w:p>
      <w:r>
        <w:t>CampusBridge Demo | Management review | 01 October 2025 to 30 September 2026</w:t>
        <w:br/>
        <w:t>Prepared by Harsh Vardhan Tomar | All commercial records are simulated</w:t>
      </w:r>
    </w:p>
    <w:p>
      <w:r>
        <w:t>Prioritise pipeline hygiene before expanding outreach. The simulated team has 370 open opportunities, but 270 have spent more than 30 days in their current stage and 222 have overdue next actions. A large gross pipeline therefore does not justify treating every deal as near-term revenue.</w:t>
      </w:r>
    </w:p>
    <w:tbl>
      <w:tblPr>
        <w:tblStyle w:val="LightShading-Accent1"/>
        <w:tblW w:type="auto" w:w="0"/>
        <w:tblLook w:firstColumn="1" w:firstRow="1" w:lastColumn="0" w:lastRow="0" w:noHBand="0" w:noVBand="1" w:val="04A0"/>
      </w:tblPr>
      <w:tblGrid>
        <w:gridCol w:w="5040"/>
        <w:gridCol w:w="5040"/>
      </w:tblGrid>
      <w:tr>
        <w:tc>
          <w:tcPr>
            <w:tcW w:type="dxa" w:w="5040"/>
          </w:tcPr>
          <w:p>
            <w:r>
              <w:t>Measure</w:t>
            </w:r>
          </w:p>
        </w:tc>
        <w:tc>
          <w:tcPr>
            <w:tcW w:type="dxa" w:w="5040"/>
          </w:tcPr>
          <w:p>
            <w:r>
              <w:t>Snapshot result</w:t>
            </w:r>
          </w:p>
        </w:tc>
      </w:tr>
      <w:tr>
        <w:tc>
          <w:tcPr>
            <w:tcW w:type="dxa" w:w="5040"/>
          </w:tcPr>
          <w:p>
            <w:r>
              <w:t>Institution prospects / activities</w:t>
            </w:r>
          </w:p>
        </w:tc>
        <w:tc>
          <w:tcPr>
            <w:tcW w:type="dxa" w:w="5040"/>
          </w:tcPr>
          <w:p>
            <w:r>
              <w:t>600 / 4,399</w:t>
            </w:r>
          </w:p>
        </w:tc>
      </w:tr>
      <w:tr>
        <w:tc>
          <w:tcPr>
            <w:tcW w:type="dxa" w:w="5040"/>
          </w:tcPr>
          <w:p>
            <w:r>
              <w:t>Active pipeline</w:t>
            </w:r>
          </w:p>
        </w:tc>
        <w:tc>
          <w:tcPr>
            <w:tcW w:type="dxa" w:w="5040"/>
          </w:tcPr>
          <w:p>
            <w:r>
              <w:t>INR 109,230,000</w:t>
            </w:r>
          </w:p>
        </w:tc>
      </w:tr>
      <w:tr>
        <w:tc>
          <w:tcPr>
            <w:tcW w:type="dxa" w:w="5040"/>
          </w:tcPr>
          <w:p>
            <w:r>
              <w:t>Signed partnership value</w:t>
            </w:r>
          </w:p>
        </w:tc>
        <w:tc>
          <w:tcPr>
            <w:tcW w:type="dxa" w:w="5040"/>
          </w:tcPr>
          <w:p>
            <w:r>
              <w:t>INR 16,886,000 across 57 wins</w:t>
            </w:r>
          </w:p>
        </w:tc>
      </w:tr>
      <w:tr>
        <w:tc>
          <w:tcPr>
            <w:tcW w:type="dxa" w:w="5040"/>
          </w:tcPr>
          <w:p>
            <w:r>
              <w:t>Recognized service revenue</w:t>
            </w:r>
          </w:p>
        </w:tc>
        <w:tc>
          <w:tcPr>
            <w:tcW w:type="dxa" w:w="5040"/>
          </w:tcPr>
          <w:p>
            <w:r>
              <w:t>INR 5,736,156.17</w:t>
            </w:r>
          </w:p>
        </w:tc>
      </w:tr>
      <w:tr>
        <w:tc>
          <w:tcPr>
            <w:tcW w:type="dxa" w:w="5040"/>
          </w:tcPr>
          <w:p>
            <w:r>
              <w:t>Closed-deal win rate</w:t>
            </w:r>
          </w:p>
        </w:tc>
        <w:tc>
          <w:tcPr>
            <w:tcW w:type="dxa" w:w="5040"/>
          </w:tcPr>
          <w:p>
            <w:r>
              <w:t>57 / 230 = 24.78%</w:t>
            </w:r>
          </w:p>
        </w:tc>
      </w:tr>
      <w:tr>
        <w:tc>
          <w:tcPr>
            <w:tcW w:type="dxa" w:w="5040"/>
          </w:tcPr>
          <w:p>
            <w:r>
              <w:t>Average won deal / mean won cycle</w:t>
            </w:r>
          </w:p>
        </w:tc>
        <w:tc>
          <w:tcPr>
            <w:tcW w:type="dxa" w:w="5040"/>
          </w:tcPr>
          <w:p>
            <w:r>
              <w:t>INR 296,245.61 / 124.93 days</w:t>
            </w:r>
          </w:p>
        </w:tc>
      </w:tr>
    </w:tbl>
    <w:p>
      <w:pPr>
        <w:pStyle w:val="Heading1"/>
      </w:pPr>
      <w:r>
        <w:t>Conversion bottleneck</w:t>
      </w:r>
    </w:p>
    <w:p>
      <w:r>
        <w:t>Proposal Sent to Negotiation has the lowest observed adjacent-stage conversion among stages with at least 20 entries: 75 of 146 opportunities, or 51.37%. Review scope clarity, procurement objections and the next decision date. Recent opportunities remain unfinished, so this ratio is not a final probability of progression.</w:t>
      </w:r>
    </w:p>
    <w:p>
      <w:pPr>
        <w:pStyle w:val="Heading1"/>
      </w:pPr>
      <w:r>
        <w:t>Territory allocation</w:t>
      </w:r>
    </w:p>
    <w:p>
      <w:r>
        <w:t>North holds INR 29,212,000 of active pipeline and 57 overdue actions. South has 16 wins out of 47 closed deals (34.04%), compared with East at 5 of 38 (13.16%). These differences are descriptive simulation results. Lead mix and deal maturity must be considered before reallocating staff. Clear North’s backlog and examine East’s loss reasons before a new territory pilot.</w:t>
      </w:r>
    </w:p>
    <w:p>
      <w:r>
        <w:br w:type="page"/>
      </w:r>
    </w:p>
    <w:p>
      <w:pPr>
        <w:pStyle w:val="Title"/>
      </w:pPr>
      <w:r>
        <w:t>Forecast and management actions</w:t>
      </w:r>
    </w:p>
    <w:tbl>
      <w:tblPr>
        <w:tblStyle w:val="LightShading-Accent1"/>
        <w:tblW w:type="auto" w:w="0"/>
        <w:tblLook w:firstColumn="1" w:firstRow="1" w:lastColumn="0" w:lastRow="0" w:noHBand="0" w:noVBand="1" w:val="04A0"/>
      </w:tblPr>
      <w:tblGrid>
        <w:gridCol w:w="5040"/>
        <w:gridCol w:w="5040"/>
      </w:tblGrid>
      <w:tr>
        <w:tc>
          <w:tcPr>
            <w:tcW w:type="dxa" w:w="5040"/>
          </w:tcPr>
          <w:p>
            <w:r>
              <w:t>Q4 2026 scenario</w:t>
            </w:r>
          </w:p>
        </w:tc>
        <w:tc>
          <w:tcPr>
            <w:tcW w:type="dxa" w:w="5040"/>
          </w:tcPr>
          <w:p>
            <w:r>
              <w:t>New signed value INR</w:t>
            </w:r>
          </w:p>
        </w:tc>
      </w:tr>
      <w:tr>
        <w:tc>
          <w:tcPr>
            <w:tcW w:type="dxa" w:w="5040"/>
          </w:tcPr>
          <w:p>
            <w:r>
              <w:t>Conservative</w:t>
            </w:r>
          </w:p>
        </w:tc>
        <w:tc>
          <w:tcPr>
            <w:tcW w:type="dxa" w:w="5040"/>
          </w:tcPr>
          <w:p>
            <w:r>
              <w:t>3,438,260</w:t>
            </w:r>
          </w:p>
        </w:tc>
      </w:tr>
      <w:tr>
        <w:tc>
          <w:tcPr>
            <w:tcW w:type="dxa" w:w="5040"/>
          </w:tcPr>
          <w:p>
            <w:r>
              <w:t>Base</w:t>
            </w:r>
          </w:p>
        </w:tc>
        <w:tc>
          <w:tcPr>
            <w:tcW w:type="dxa" w:w="5040"/>
          </w:tcPr>
          <w:p>
            <w:r>
              <w:t>4,911,800</w:t>
            </w:r>
          </w:p>
        </w:tc>
      </w:tr>
      <w:tr>
        <w:tc>
          <w:tcPr>
            <w:tcW w:type="dxa" w:w="5040"/>
          </w:tcPr>
          <w:p>
            <w:r>
              <w:t>Optimistic</w:t>
            </w:r>
          </w:p>
        </w:tc>
        <w:tc>
          <w:tcPr>
            <w:tcW w:type="dxa" w:w="5040"/>
          </w:tcPr>
          <w:p>
            <w:r>
              <w:t>6,385,340</w:t>
            </w:r>
          </w:p>
        </w:tc>
      </w:tr>
    </w:tbl>
    <w:p>
      <w:r>
        <w:t>The forecast covers 108 open opportunities expected to close in October–December 2026. It excludes 224 past-due deals carrying INR 70,993,000 and deals scheduled after the quarter. Stage probabilities are assumptions: 3%, 10%, 18%, 30%, 50% and 70%. Conservative and optimistic scenarios scale them by 0.7 and 1.3, capped at 100%. These are bookings scenarios, not confidence intervals or recognized-revenue estimates.</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Owner</w:t>
            </w:r>
          </w:p>
        </w:tc>
        <w:tc>
          <w:tcPr>
            <w:tcW w:type="dxa" w:w="3360"/>
          </w:tcPr>
          <w:p>
            <w:r>
              <w:t>Next review action</w:t>
            </w:r>
          </w:p>
        </w:tc>
        <w:tc>
          <w:tcPr>
            <w:tcW w:type="dxa" w:w="3360"/>
          </w:tcPr>
          <w:p>
            <w:r>
              <w:t>Metric to monitor</w:t>
            </w:r>
          </w:p>
        </w:tc>
      </w:tr>
      <w:tr>
        <w:tc>
          <w:tcPr>
            <w:tcW w:type="dxa" w:w="3360"/>
          </w:tcPr>
          <w:p>
            <w:r>
              <w:t>Sales representatives</w:t>
            </w:r>
          </w:p>
        </w:tc>
        <w:tc>
          <w:tcPr>
            <w:tcW w:type="dxa" w:w="3360"/>
          </w:tcPr>
          <w:p>
            <w:r>
              <w:t>Validate overdue tasks within 7 days</w:t>
            </w:r>
          </w:p>
        </w:tc>
        <w:tc>
          <w:tcPr>
            <w:tcW w:type="dxa" w:w="3360"/>
          </w:tcPr>
          <w:p>
            <w:r>
              <w:t>222 overdue opportunities</w:t>
            </w:r>
          </w:p>
        </w:tc>
      </w:tr>
      <w:tr>
        <w:tc>
          <w:tcPr>
            <w:tcW w:type="dxa" w:w="3360"/>
          </w:tcPr>
          <w:p>
            <w:r>
              <w:t>Sales manager</w:t>
            </w:r>
          </w:p>
        </w:tc>
        <w:tc>
          <w:tcPr>
            <w:tcW w:type="dxa" w:w="3360"/>
          </w:tcPr>
          <w:p>
            <w:r>
              <w:t>Requalify stalled deals at weekly review</w:t>
            </w:r>
          </w:p>
        </w:tc>
        <w:tc>
          <w:tcPr>
            <w:tcW w:type="dxa" w:w="3360"/>
          </w:tcPr>
          <w:p>
            <w:r>
              <w:t>270 opportunities &gt;30 days in stage</w:t>
            </w:r>
          </w:p>
        </w:tc>
      </w:tr>
      <w:tr>
        <w:tc>
          <w:tcPr>
            <w:tcW w:type="dxa" w:w="3360"/>
          </w:tcPr>
          <w:p>
            <w:r>
              <w:t>Commercial lead</w:t>
            </w:r>
          </w:p>
        </w:tc>
        <w:tc>
          <w:tcPr>
            <w:tcW w:type="dxa" w:w="3360"/>
          </w:tcPr>
          <w:p>
            <w:r>
              <w:t>Audit proposal objections</w:t>
            </w:r>
          </w:p>
        </w:tc>
        <w:tc>
          <w:tcPr>
            <w:tcW w:type="dxa" w:w="3360"/>
          </w:tcPr>
          <w:p>
            <w:r>
              <w:t>75 / 146 advanced to Negotiation</w:t>
            </w:r>
          </w:p>
        </w:tc>
      </w:tr>
      <w:tr>
        <w:tc>
          <w:tcPr>
            <w:tcW w:type="dxa" w:w="3360"/>
          </w:tcPr>
          <w:p>
            <w:r>
              <w:t>Sales operations</w:t>
            </w:r>
          </w:p>
        </w:tc>
        <w:tc>
          <w:tcPr>
            <w:tcW w:type="dxa" w:w="3360"/>
          </w:tcPr>
          <w:p>
            <w:r>
              <w:t>Refresh expected close dates before forecast</w:t>
            </w:r>
          </w:p>
        </w:tc>
        <w:tc>
          <w:tcPr>
            <w:tcW w:type="dxa" w:w="3360"/>
          </w:tcPr>
          <w:p>
            <w:r>
              <w:t>224 past-due open deals</w:t>
            </w:r>
          </w:p>
        </w:tc>
      </w:tr>
      <w:tr>
        <w:tc>
          <w:tcPr>
            <w:tcW w:type="dxa" w:w="3360"/>
          </w:tcPr>
          <w:p>
            <w:r>
              <w:t>Territory lead</w:t>
            </w:r>
          </w:p>
        </w:tc>
        <w:tc>
          <w:tcPr>
            <w:tcW w:type="dxa" w:w="3360"/>
          </w:tcPr>
          <w:p>
            <w:r>
              <w:t>Review account O0426 and confirm next step</w:t>
            </w:r>
          </w:p>
        </w:tc>
        <w:tc>
          <w:tcPr>
            <w:tcW w:type="dxa" w:w="3360"/>
          </w:tcPr>
          <w:p>
            <w:r>
              <w:t>80.16 priority score; INR 1,223,000 potential</w:t>
            </w:r>
          </w:p>
        </w:tc>
      </w:tr>
    </w:tbl>
    <w:p>
      <w:pPr>
        <w:pStyle w:val="Heading1"/>
      </w:pPr>
      <w:r>
        <w:t>Evidence and limits</w:t>
      </w:r>
    </w:p>
    <w:p>
      <w:r>
        <w:t>Source: data/partnerships.sqlite and data/summary.json, deterministic seed 20261017. SQL and Python reconcile signed value and accrual. The dataset has one opportunity per institution, forward-only stages and constant opportunity values. No causal improvement, real client result, market-size estimate or model accuracy is claimed. Full formulas and denominators appear in docs/KPI_DEFINITIONS.md.</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