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jc w:val="center"/>
      </w:pPr>
      <w:r>
        <w:t xml:space="preserve">Hartland Community Historical Society</w:t>
      </w:r>
    </w:p>
    <w:p>
      <w:pPr>
        <w:spacing w:after="60"/>
        <w:jc w:val="center"/>
      </w:pPr>
      <w:r>
        <w:rPr>
          <w:b/>
          <w:bCs/>
          <w:color w:val="1F3864"/>
          <w:sz w:val="30"/>
          <w:szCs w:val="30"/>
        </w:rPr>
        <w:t xml:space="preserve">Human Resources Policy</w:t>
      </w:r>
    </w:p>
    <w:p>
      <w:pPr>
        <w:spacing w:after="320"/>
        <w:jc w:val="center"/>
      </w:pPr>
      <w:r>
        <w:rPr>
          <w:i/>
          <w:iCs/>
          <w:color w:val="555555"/>
          <w:sz w:val="20"/>
          <w:szCs w:val="20"/>
        </w:rPr>
        <w:t xml:space="preserve">Applies to Board members, staff, and volunteers  •  Review cycle: every 2 years</w:t>
      </w:r>
    </w:p>
    <w:p>
      <w:pPr>
        <w:pStyle w:val="Heading1"/>
        <w:spacing w:after="120" w:before="280"/>
      </w:pPr>
      <w:r>
        <w:t xml:space="preserve">1. Purpose and Scope</w:t>
      </w:r>
    </w:p>
    <w:p>
      <w:pPr>
        <w:spacing w:after="140"/>
      </w:pPr>
      <w:r>
        <w:t xml:space="preserve">The Society currently operates without a physical museum or paid staff — its work is carried out by its founder, its Board, and volunteers. This policy sets fair, consistent standards for everyone who works on the Society's behalf, and gives it a ready framework to grow into if it hires staff or opens a museum space.</w:t>
      </w:r>
    </w:p>
    <w:p>
      <w:pPr>
        <w:spacing w:after="140"/>
      </w:pPr>
      <w:r>
        <w:t xml:space="preserve">It applies to Board members (governance volunteers), volunteers (anyone contributing time unpaid), and staff (any paid employee or contractor, present or future). Sections that apply to only one group say so.</w:t>
      </w:r>
    </w:p>
    <w:p>
      <w:pPr>
        <w:pStyle w:val="Heading1"/>
        <w:spacing w:after="120" w:before="280"/>
      </w:pPr>
      <w:r>
        <w:t xml:space="preserve">2. Guiding Principles</w:t>
      </w:r>
    </w:p>
    <w:p>
      <w:pPr>
        <w:pStyle w:val="ListParagraph"/>
        <w:numPr>
          <w:ilvl w:val="0"/>
          <w:numId w:val="2"/>
        </w:numPr>
        <w:spacing w:after="60"/>
      </w:pPr>
      <w:r>
        <w:t xml:space="preserve">Equal opportunity — no discrimination in recruitment or treatment on any ground protected by New Brunswick and Canadian human rights law.</w:t>
      </w:r>
    </w:p>
    <w:p>
      <w:pPr>
        <w:pStyle w:val="ListParagraph"/>
        <w:numPr>
          <w:ilvl w:val="0"/>
          <w:numId w:val="2"/>
        </w:numPr>
        <w:spacing w:after="60"/>
      </w:pPr>
      <w:r>
        <w:t xml:space="preserve">Respect — for colleagues, and for the identifiable community members depicted throughout the collection.</w:t>
      </w:r>
    </w:p>
    <w:p>
      <w:pPr>
        <w:pStyle w:val="ListParagraph"/>
        <w:numPr>
          <w:ilvl w:val="0"/>
          <w:numId w:val="2"/>
        </w:numPr>
        <w:spacing w:after="60"/>
      </w:pPr>
      <w:r>
        <w:t xml:space="preserve">Proportionality — lightweight where a small volunteer group needs it to be, firm where risk warrants it (child safety, personal information, money, irreplaceable originals).</w:t>
      </w:r>
    </w:p>
    <w:p>
      <w:pPr>
        <w:pStyle w:val="Heading1"/>
        <w:spacing w:after="120" w:before="280"/>
      </w:pPr>
      <w:r>
        <w:t xml:space="preserve">3. Roles and Structure</w:t>
      </w:r>
    </w:p>
    <w:p>
      <w:pPr>
        <w:spacing w:after="140"/>
      </w:pPr>
      <w:r>
        <w:t xml:space="preserve">The Board sets policy and holds fiduciary responsibility. A Volunteer Coordinator (a Board member or delegate) handles day-to-day recruitment, scheduling, and support. Staff, if any, report to the Board or a named supervisor. Every volunteer or staff member should know their point of contact; default to the Volunteer Coordinator or Board Chair if unsure.</w:t>
      </w:r>
    </w:p>
    <w:p>
      <w:pPr>
        <w:pStyle w:val="Heading1"/>
        <w:spacing w:after="120" w:before="280"/>
      </w:pPr>
      <w:r>
        <w:t xml:space="preserve">4. Recruitment and Onboarding</w:t>
      </w:r>
    </w:p>
    <w:p>
      <w:pPr>
        <w:pStyle w:val="ListParagraph"/>
        <w:numPr>
          <w:ilvl w:val="0"/>
          <w:numId w:val="2"/>
        </w:numPr>
        <w:spacing w:after="60"/>
      </w:pPr>
      <w:r>
        <w:t xml:space="preserve">Volunteers: an informal conversation to match interests and availability, a walkthrough of the collection and site, this policy, and a named contact. No minimum time commitment.</w:t>
      </w:r>
    </w:p>
    <w:p>
      <w:pPr>
        <w:pStyle w:val="ListParagraph"/>
        <w:numPr>
          <w:ilvl w:val="0"/>
          <w:numId w:val="2"/>
        </w:numPr>
        <w:spacing w:after="60"/>
      </w:pPr>
      <w:r>
        <w:t xml:space="preserve">Staff: Board-approved written job description, open posting where practical, written offer letter, and a 3-month probationary review point.</w:t>
      </w:r>
    </w:p>
    <w:p>
      <w:pPr>
        <w:pStyle w:val="ListParagraph"/>
        <w:numPr>
          <w:ilvl w:val="0"/>
          <w:numId w:val="2"/>
        </w:numPr>
        <w:spacing w:after="60"/>
      </w:pPr>
      <w:r>
        <w:t xml:space="preserve">Higher-trust roles — access to money, personal information about living community members, or unsupervised contact with minors — require a reference check, and a criminal record check (at the Society's expense) where minors or vulnerable persons are involved.</w:t>
      </w:r>
    </w:p>
    <w:p>
      <w:pPr>
        <w:pStyle w:val="Heading1"/>
        <w:spacing w:after="120" w:before="280"/>
      </w:pPr>
      <w:r>
        <w:t xml:space="preserve">5. Code of Conduct</w:t>
      </w:r>
    </w:p>
    <w:p>
      <w:pPr>
        <w:pStyle w:val="ListParagraph"/>
        <w:numPr>
          <w:ilvl w:val="0"/>
          <w:numId w:val="2"/>
        </w:numPr>
        <w:spacing w:after="60"/>
      </w:pPr>
      <w:r>
        <w:t xml:space="preserve">Treat volunteers, staff, board members, donors, and the public with courtesy and respect.</w:t>
      </w:r>
    </w:p>
    <w:p>
      <w:pPr>
        <w:pStyle w:val="ListParagraph"/>
        <w:numPr>
          <w:ilvl w:val="0"/>
          <w:numId w:val="2"/>
        </w:numPr>
        <w:spacing w:after="60"/>
      </w:pPr>
      <w:r>
        <w:t xml:space="preserve">Represent the Society accurately; don't speak on its behalf publicly unless authorized.</w:t>
      </w:r>
    </w:p>
    <w:p>
      <w:pPr>
        <w:pStyle w:val="ListParagraph"/>
        <w:numPr>
          <w:ilvl w:val="0"/>
          <w:numId w:val="2"/>
        </w:numPr>
        <w:spacing w:after="60"/>
      </w:pPr>
      <w:r>
        <w:t xml:space="preserve">Disclose conflicts of interest to the Board as soon as they arise; never accept payment or favours to alter how collection material is handled.</w:t>
      </w:r>
    </w:p>
    <w:p>
      <w:pPr>
        <w:pStyle w:val="ListParagraph"/>
        <w:numPr>
          <w:ilvl w:val="0"/>
          <w:numId w:val="2"/>
        </w:numPr>
        <w:spacing w:after="60"/>
      </w:pPr>
      <w:r>
        <w:t xml:space="preserve">Follow the collections-handling standards in Section 6, and the copyright/credit information already recorded for each item.</w:t>
      </w:r>
    </w:p>
    <w:p>
      <w:pPr>
        <w:pStyle w:val="Heading1"/>
        <w:spacing w:after="120" w:before="280"/>
      </w:pPr>
      <w:r>
        <w:t xml:space="preserve">6. Confidentiality and Collections Handling</w:t>
      </w:r>
    </w:p>
    <w:p>
      <w:pPr>
        <w:spacing w:after="140"/>
      </w:pPr>
      <w:r>
        <w:t xml:space="preserve">The collection includes identifiable images of, and information about, private individuals, including minors in some historical photographs. Donor contact details and family history shared in confidence are not shared beyond what the work requires. Requests from a living subject or their family to restrict a photograph are routed to the Volunteer Coordinator or Board promptly and handled respectfully.</w:t>
      </w:r>
    </w:p>
    <w:p>
      <w:pPr>
        <w:spacing w:after="140"/>
      </w:pPr>
      <w:r>
        <w:t xml:space="preserve">Original photographs, posters, and documents are irreplaceable: handle with clean, dry hands, keep them from food, drink, and direct sunlight, and use archival materials where provided. Doris Kennedy's original identifications are historical record — corrections are welcome, silent overwrites are not. Never publish material the Society lacks the rights to publish.</w:t>
      </w:r>
    </w:p>
    <w:p>
      <w:pPr>
        <w:pStyle w:val="Heading1"/>
        <w:spacing w:after="120" w:before="280"/>
      </w:pPr>
      <w:r>
        <w:t xml:space="preserve">7. Health, Safety, and Protection of Minors</w:t>
      </w:r>
    </w:p>
    <w:p>
      <w:pPr>
        <w:pStyle w:val="ListParagraph"/>
        <w:numPr>
          <w:ilvl w:val="0"/>
          <w:numId w:val="2"/>
        </w:numPr>
        <w:spacing w:after="60"/>
      </w:pPr>
      <w:r>
        <w:t xml:space="preserve">No one works alone on physically risky tasks (e.g., ladder work installing wall posters) — arrange a second person or Board sign-off.</w:t>
      </w:r>
    </w:p>
    <w:p>
      <w:pPr>
        <w:pStyle w:val="ListParagraph"/>
        <w:numPr>
          <w:ilvl w:val="0"/>
          <w:numId w:val="2"/>
        </w:numPr>
        <w:spacing w:after="60"/>
      </w:pPr>
      <w:r>
        <w:t xml:space="preserve">Report any injury, near-miss, or unsafe condition to the Volunteer Coordinator or Board promptly.</w:t>
      </w:r>
    </w:p>
    <w:p>
      <w:pPr>
        <w:pStyle w:val="ListParagraph"/>
        <w:numPr>
          <w:ilvl w:val="0"/>
          <w:numId w:val="2"/>
        </w:numPr>
        <w:spacing w:after="60"/>
      </w:pPr>
      <w:r>
        <w:t xml:space="preserve">No one-on-one unsupervised contact with a minor in any Society activity; anyone in such a role must be screened per Section 4. Any suspicion of abuse or neglect is reported immediately to the appropriate authorities and the Board Chair.</w:t>
      </w:r>
    </w:p>
    <w:p>
      <w:pPr>
        <w:pStyle w:val="Heading1"/>
        <w:spacing w:after="120" w:before="280"/>
      </w:pPr>
      <w:r>
        <w:t xml:space="preserve">8. Recognition and Support</w:t>
      </w:r>
    </w:p>
    <w:p>
      <w:pPr>
        <w:spacing w:after="140"/>
      </w:pPr>
      <w:r>
        <w:t xml:space="preserve">Contributions are acknowledged periodically, and a volunteer may request a letter confirming their involvement. The Society will make reasonable accommodations for a disability, health condition, or other need, consistent with applicable human rights law.</w:t>
      </w:r>
    </w:p>
    <w:p>
      <w:pPr>
        <w:pStyle w:val="Heading1"/>
        <w:spacing w:after="120" w:before="280"/>
      </w:pPr>
      <w:r>
        <w:t xml:space="preserve">9. Concerns and Discipline</w:t>
      </w:r>
    </w:p>
    <w:p>
      <w:pPr>
        <w:spacing w:after="140"/>
      </w:pPr>
      <w:r>
        <w:t xml:space="preserve">Raise a concern with the Volunteer Coordinator or any Board member (or another Board member, if the concern involves the Chair). It will be acknowledged and looked into fairly and kept as confidential as the situation allows. Responses to a substantiated issue scale with severity — from a private conversation, to a written warning, to suspension, to removal — with serious matters (theft, harassment, danger to a minor, financial misconduct) going straight to suspension pending investigation and referral to police where the law requires it. No one faces retaliation for raising a good-faith concern.</w:t>
      </w:r>
    </w:p>
    <w:p>
      <w:pPr>
        <w:pStyle w:val="Heading1"/>
        <w:spacing w:after="120" w:before="280"/>
      </w:pPr>
      <w:r>
        <w:t xml:space="preserve">10. Ending a Working Relationship</w:t>
      </w:r>
    </w:p>
    <w:p>
      <w:pPr>
        <w:spacing w:after="140"/>
      </w:pPr>
      <w:r>
        <w:t xml:space="preserve">Volunteers may step back at any time; a heads-up to the Volunteer Coordinator helps with handoff. Staff resignations follow the notice period in their offer letter or applicable law. Access to accounts, records, and keys is revoked promptly on departure from any higher-trust role, and a reference or letter of contribution is available on request for anyone leaving in good standing.</w:t>
      </w:r>
    </w:p>
    <w:p>
      <w:pPr>
        <w:pStyle w:val="Heading1"/>
        <w:spacing w:after="120" w:before="280"/>
      </w:pPr>
      <w:r>
        <w:t xml:space="preserve">11. Policy Administration</w:t>
      </w:r>
    </w:p>
    <w:p>
      <w:pPr>
        <w:spacing w:after="140"/>
      </w:pPr>
      <w:r>
        <w:t xml:space="preserve">This policy is approved and amended by the Board; questions on interpretation go to the Board Chair.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F3864" w:sz="6" w:space="2"/>
      </w:pBdr>
      <w:spacing w:after="120" w:before="280"/>
    </w:pPr>
    <w:rPr>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2026-09-13T16:03:12.145Z</dcterms:created>
  <dcterms:modified xsi:type="dcterms:W3CDTF">2026-09-13T16:03:12.145Z</dcterms:modified>
</cp:coreProperties>
</file>

<file path=docProps/custom.xml><?xml version="1.0" encoding="utf-8"?>
<Properties xmlns="http://schemas.openxmlformats.org/officeDocument/2006/custom-properties" xmlns:vt="http://schemas.openxmlformats.org/officeDocument/2006/docPropsVTypes"/>
</file>