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80"/>
      </w:pPr>
      <w:r>
        <w:rPr>
          <w:i/>
          <w:iCs/>
          <w:color w:val="666666"/>
        </w:rPr>
        <w:t xml:space="preserve">Working draft — discussion document</w:t>
      </w:r>
    </w:p>
    <w:p>
      <w:pPr>
        <w:spacing w:after="120" w:before="0" w:line="320"/>
      </w:pPr>
      <w:r>
        <w:rPr>
          <w:b/>
          <w:bCs/>
          <w:sz w:val="36"/>
          <w:szCs w:val="36"/>
        </w:rPr>
        <w:t xml:space="preserve">REM-respiration bimodality and the young-adult hypertension surge</w:t>
      </w:r>
    </w:p>
    <w:p>
      <w:pPr>
        <w:spacing w:after="240" w:before="0" w:line="280"/>
      </w:pPr>
      <w:r>
        <w:rPr>
          <w:i/>
          <w:iCs/>
          <w:sz w:val="22"/>
          <w:szCs w:val="22"/>
        </w:rPr>
        <w:t xml:space="preserve">A public-health framing: combining a falsifiable sleep biomarker, an n=1 mechanical intervention, and a supporting calm-sleep frequency observation, in the context of Gauteng’s 2025/26 hypertension surge in adults under 45.</w:t>
      </w:r>
    </w:p>
    <w:p>
      <w:pPr>
        <w:pStyle w:val="Heading1"/>
        <w:spacing w:after="200" w:before="320"/>
      </w:pPr>
      <w:r>
        <w:t xml:space="preserve">Front-matter ask</w:t>
      </w:r>
    </w:p>
    <w:p>
      <w:pPr>
        <w:spacing w:after="120" w:before="120" w:line="300"/>
      </w:pPr>
      <w:r>
        <w:rPr>
          <w:b/>
          <w:bCs/>
        </w:rPr>
        <w:t xml:space="preserve">The proposition. </w:t>
      </w:r>
      <w:r>
        <w:t xml:space="preserve">The Gauteng Department of Health reported 26,088 new hypertension diagnoses in adults aged 18–44 during the 2025/26 financial year, out of 69,125 province-wide. That is approximately 71 new under-45 diagnoses per day in one province. Standard public-health response is downstream: screen, diagnose, medicate, manage lifelong. This document proposes that a low-cost, upstream, software-only autonomic-sleep biomarker — already detectable in data consumer wearables collect routinely — should be tested at population scale as a candidate screening modality for the autonomically-driven subset of this cohort, before the pharmacological pathway absorbs them.</w:t>
      </w:r>
    </w:p>
    <w:p>
      <w:pPr>
        <w:spacing w:after="120" w:before="120" w:line="300"/>
      </w:pPr>
      <w:r>
        <w:rPr>
          <w:b/>
          <w:bCs/>
        </w:rPr>
        <w:t xml:space="preserve">The test. </w:t>
      </w:r>
      <w:r>
        <w:t xml:space="preserve">A binary, falsifiable, single-week analytical pilot on existing wearable data (≈10³ users × 10 nights), using the Phase A Gaussian Mixture Model detection pipeline specified in the accompanying Garmin Health submission. Output: either a non-trivial fraction of users displays stable REM-respiration bimodality above the false-positive floor, or the population distribution is indistinguishable from synthetic-unimodal baseline and the hypothesis is rejected.</w:t>
      </w:r>
    </w:p>
    <w:p>
      <w:pPr>
        <w:spacing w:after="120" w:before="120" w:line="300"/>
      </w:pPr>
      <w:r>
        <w:rPr>
          <w:b/>
          <w:bCs/>
        </w:rPr>
        <w:t xml:space="preserve">Why this document exists alongside the others. </w:t>
      </w:r>
      <w:r>
        <w:t xml:space="preserve">The Garmin Health submission frames the biomarker in product terms. The Eskom pilot frames it in occupational-health terms. The Dr Thomas note frames it in physiological terms. The preprint frames it in publishable-evidence terms. None of those framings engages directly with the public-health crisis that has materialised on the same soil and in the same year as the n=1 record. This document is that engagement. It is the broadest framing of the six and the one with the weakest direct evidence chain; it is included because the asymmetry between intervention cost (low) and crisis cost (high) makes the seed worth planting before the chain is fully established.</w:t>
      </w:r>
    </w:p>
    <w:p>
      <w:pPr>
        <w:spacing w:after="120" w:before="120" w:line="300"/>
      </w:pPr>
      <w:r>
        <w:rPr>
          <w:b/>
          <w:bCs/>
        </w:rPr>
        <w:t xml:space="preserve">What this document is and is not. </w:t>
      </w:r>
      <w:r>
        <w:t xml:space="preserve">This is a working draft of a public-health framing for discussion with researchers, clinicians, and policy contacts. It is not a clinical claim, not a diagnostic claim, not a therapeutic recommendation, not a treatment protocol, and not a substitute for medical advice. The proposed pathway requires formal population-scale validation before any clinical or public-health application is justified.</w:t>
      </w:r>
    </w:p>
    <w:p>
      <w:pPr>
        <w:pStyle w:val="Heading1"/>
        <w:spacing w:after="200" w:before="320"/>
      </w:pPr>
      <w:r>
        <w:t xml:space="preserve">1. The Gauteng surge in context</w:t>
      </w:r>
    </w:p>
    <w:p>
      <w:pPr>
        <w:spacing w:after="120" w:before="120" w:line="300"/>
        <w:jc w:val="left"/>
      </w:pPr>
      <w:r>
        <w:t xml:space="preserve">The numbers reported by the Gauteng Department of Health in May 2026, in commemoration of World Hypertension Day, are the immediate motivation for this document:</w:t>
      </w:r>
    </w:p>
    <w:p>
      <w:pPr>
        <w:pStyle w:val="ListParagraph"/>
        <w:numPr>
          <w:ilvl w:val="0"/>
          <w:numId w:val="2"/>
        </w:numPr>
        <w:spacing w:after="60" w:before="60" w:line="290"/>
      </w:pPr>
      <w:r>
        <w:t xml:space="preserve">69,125 new hypertension cases recorded across the province in the 2025/26 financial year (April 2025 – March 2026).</w:t>
      </w:r>
    </w:p>
    <w:p>
      <w:pPr>
        <w:pStyle w:val="ListParagraph"/>
        <w:numPr>
          <w:ilvl w:val="0"/>
          <w:numId w:val="2"/>
        </w:numPr>
        <w:spacing w:after="60" w:before="60" w:line="290"/>
      </w:pPr>
      <w:r>
        <w:t xml:space="preserve">26,088 of those cases, or approximately 38%, were diagnosed in adults aged 18–44 — a demographic in which hypertension is historically uncommon.</w:t>
      </w:r>
    </w:p>
    <w:p>
      <w:pPr>
        <w:pStyle w:val="ListParagraph"/>
        <w:numPr>
          <w:ilvl w:val="0"/>
          <w:numId w:val="2"/>
        </w:numPr>
        <w:spacing w:after="60" w:before="60" w:line="290"/>
      </w:pPr>
      <w:r>
        <w:t xml:space="preserve">Approximately 8.7 million adults were screened across Gauteng in the same financial year, of which the 26,088 under-45 diagnoses represent the detected cases. Undetected cases are not captured by this figure.</w:t>
      </w:r>
    </w:p>
    <w:p>
      <w:pPr>
        <w:pStyle w:val="ListParagraph"/>
        <w:numPr>
          <w:ilvl w:val="0"/>
          <w:numId w:val="2"/>
        </w:numPr>
        <w:spacing w:after="60" w:before="60" w:line="290"/>
      </w:pPr>
      <w:r>
        <w:t xml:space="preserve">Daily rate: approximately 71 new under-45 diagnoses per day in one province, sustained across a full financial year.</w:t>
      </w:r>
    </w:p>
    <w:p>
      <w:pPr>
        <w:spacing w:after="120" w:before="120" w:line="300"/>
        <w:jc w:val="left"/>
      </w:pPr>
      <w:r>
        <w:t xml:space="preserve">The department’s public statement attributes the rise to standard lifestyle factors: poor diet, obesity, smoking, alcohol use, and lack of exercise. These are the established and broadly correct contributors at population level. The framing this document adds is not a contradiction of that explanation; it is a complement to it. The question is whether some non-trivial fraction of the 26,088 — those whose hypertensive trajectory is autonomically driven rather than primarily metabolic — could be identified earlier and intervened on differently, before the pharmacological pathway becomes the only option.</w:t>
      </w:r>
    </w:p>
    <w:p>
      <w:pPr>
        <w:pStyle w:val="Heading2"/>
        <w:spacing w:after="160" w:before="240"/>
      </w:pPr>
      <w:r>
        <w:t xml:space="preserve">Why the autonomic-subset hypothesis matters here</w:t>
      </w:r>
    </w:p>
    <w:p>
      <w:pPr>
        <w:spacing w:after="120" w:before="120" w:line="300"/>
        <w:jc w:val="left"/>
      </w:pPr>
      <w:r>
        <w:t xml:space="preserve">Essential hypertension is not a single disease. It is an end-stage diagnosis common to multiple distinct upstream trajectories: metabolic (insulin-resistance-mediated vascular dysfunction), renal (salt-handling), inflammatory (post-infectious endothelial damage), and autonomic (sustained sympathetic dominance, often sleep-mediated). The standard public-health response treats them uniformly because, by the time blood pressure is measurably elevated, the differential diagnosis is hard to make at scale and the proximate cause is the same: elevated arterial pressure damaging downstream organs.</w:t>
      </w:r>
    </w:p>
    <w:p>
      <w:pPr>
        <w:spacing w:after="120" w:before="120" w:line="300"/>
        <w:jc w:val="left"/>
      </w:pPr>
      <w:r>
        <w:t xml:space="preserve">The autonomically-driven subset is the one most plausibly addressable with low-cost, non-pharmacological, sleep-environment intervention — if it can be identified early enough. The biomarker proposed in this document family is one candidate for that identification.</w:t>
      </w:r>
    </w:p>
    <w:p>
      <w:pPr>
        <w:spacing w:after="120" w:before="120" w:line="300"/>
        <w:jc w:val="left"/>
      </w:pPr>
      <w:r>
        <w:t xml:space="preserve">If even 10–20% of new under-45 diagnoses in Gauteng sit in this subset, that is 2,600–5,200 individuals per year in one province for whom a low-cost intervention could plausibly bend the trajectory before lifelong medication becomes the only available lever. That is the public-health stakes question. It is testable. The remainder of this document specifies how.</w:t>
      </w:r>
    </w:p>
    <w:p>
      <w:pPr>
        <w:pStyle w:val="Heading1"/>
        <w:spacing w:after="200" w:before="320"/>
      </w:pPr>
      <w:r>
        <w:t xml:space="preserve">2. The two evidence threads</w:t>
      </w:r>
    </w:p>
    <w:p>
      <w:pPr>
        <w:spacing w:after="120" w:before="120" w:line="300"/>
        <w:jc w:val="left"/>
      </w:pPr>
      <w:r>
        <w:t xml:space="preserve">Two distinct strands of personal monitoring data, from the same single subject over the same observation window, point in the same direction. Each is documented in detail elsewhere in this repository; this section summarises what each contributes and explicitly distinguishes what is claimed from what is not.</w:t>
      </w:r>
    </w:p>
    <w:p>
      <w:pPr>
        <w:pStyle w:val="Heading2"/>
        <w:spacing w:after="160" w:before="240"/>
      </w:pPr>
      <w:r>
        <w:t xml:space="preserve">2.1 Thread A — REM-respiration bimodality (primary signal)</w:t>
      </w:r>
    </w:p>
    <w:p>
      <w:pPr>
        <w:spacing w:after="120" w:before="120" w:line="300"/>
        <w:jc w:val="left"/>
      </w:pPr>
      <w:r>
        <w:t xml:space="preserve">The primary signal is documented in the accompanying Garmin Health submission, the Dr Thomas note, and the preprint. The headline finding:</w:t>
      </w:r>
    </w:p>
    <w:p>
      <w:pPr>
        <w:pStyle w:val="ListParagraph"/>
        <w:numPr>
          <w:ilvl w:val="0"/>
          <w:numId w:val="2"/>
        </w:numPr>
        <w:spacing w:after="60" w:before="60" w:line="290"/>
      </w:pPr>
      <w:r>
        <w:t xml:space="preserve">Bimodal fraction of REM segments: ~90% across three baseline periods spanning 3.5 years (Oct 2022, Mar 2025, Apr 2025) → 35% after partial intervention (Mar 2026) → 0% after full intervention (Apr 2026), sustained four months.</w:t>
      </w:r>
    </w:p>
    <w:p>
      <w:pPr>
        <w:pStyle w:val="ListParagraph"/>
        <w:numPr>
          <w:ilvl w:val="0"/>
          <w:numId w:val="2"/>
        </w:numPr>
        <w:spacing w:after="60" w:before="60" w:line="290"/>
      </w:pPr>
      <w:r>
        <w:t xml:space="preserve">In-REM RMS deviation: 1.21 brpm baseline → 0.91 brpm post-intervention (cross-surface average), ≈25% reduction.</w:t>
      </w:r>
    </w:p>
    <w:p>
      <w:pPr>
        <w:pStyle w:val="ListParagraph"/>
        <w:numPr>
          <w:ilvl w:val="0"/>
          <w:numId w:val="2"/>
        </w:numPr>
        <w:spacing w:after="60" w:before="60" w:line="290"/>
      </w:pPr>
      <w:r>
        <w:t xml:space="preserve">Paired weekly bradycardic shoulder (≈48 bpm in 33% of pre-intervention weeks) and oscillating respiratory traces consistent with periodic-breathing patterns: present throughout baseline, absent across four months of post-intervention follow-up.</w:t>
      </w:r>
    </w:p>
    <w:p>
      <w:pPr>
        <w:pStyle w:val="ListParagraph"/>
        <w:numPr>
          <w:ilvl w:val="0"/>
          <w:numId w:val="2"/>
        </w:numPr>
        <w:spacing w:after="60" w:before="60" w:line="290"/>
      </w:pPr>
      <w:r>
        <w:t xml:space="preserve">Three signals — bimodality, RMS deviation, and the bradycardia-plus-oscillation pairing — moved together in the same direction at the same time in the same subject.</w:t>
      </w:r>
    </w:p>
    <w:p>
      <w:pPr>
        <w:spacing w:after="120" w:before="120" w:line="300"/>
        <w:jc w:val="left"/>
      </w:pPr>
      <w:r>
        <w:t xml:space="preserve">This thread is the rigorous one. It is screenshot-scored, methodologically transparent, has a stable multi-year baseline, sustained post-intervention follow-up, and a fully specified population-scale detection pipeline. It is the basis on which the population-scale test is proposed.</w:t>
      </w:r>
    </w:p>
    <w:p>
      <w:pPr>
        <w:pStyle w:val="Heading2"/>
        <w:spacing w:after="160" w:before="240"/>
      </w:pPr>
      <w:r>
        <w:t xml:space="preserve">2.2 Thread B — Garmin calm-sleep night counts (supporting observation)</w:t>
      </w:r>
    </w:p>
    <w:p>
      <w:pPr>
        <w:spacing w:after="120" w:before="120" w:line="300"/>
        <w:jc w:val="left"/>
      </w:pPr>
      <w:r>
        <w:t xml:space="preserve">The supporting signal is a coarser, derived metric: the count of nights per month that the Garmin device classifies as "calm sleep" (Garmin’s proprietary aggregate combining HRV-related signals, respiration stability, motion, and sleep architecture into a single per-night classification). The subject’s record across the matched three-month windows pre- and post-intervention: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300"/>
      </w:tblGrid>
      <w:tr>
        <w:tc>
          <w:tcPr>
            <w:tcW w:type="dxa" w:w="2200"/>
            <w:tcBorders>
              <w:top w:val="single" w:color="BFBFBF" w:sz="4"/>
              <w:left w:val="single" w:color="BFBFBF" w:sz="4"/>
              <w:bottom w:val="single" w:color="BFBFBF" w:sz="4"/>
              <w:right w:val="single" w:color="BFBFBF" w:sz="4"/>
            </w:tcBorders>
            <w:shd w:fill="EEF1F4" w:val="clear"/>
            <w:tcMar>
              <w:top w:type="dxa" w:w="80"/>
              <w:left w:type="dxa" w:w="120"/>
              <w:bottom w:type="dxa" w:w="80"/>
              <w:right w:type="dxa" w:w="120"/>
            </w:tcMar>
          </w:tcPr>
          <w:p>
            <w:pPr>
              <w:spacing w:after="0" w:before="0" w:line="260"/>
            </w:pPr>
            <w:r>
              <w:rPr>
                <w:b/>
                <w:bCs/>
              </w:rPr>
              <w:t xml:space="preserve">Month</w:t>
            </w:r>
          </w:p>
        </w:tc>
        <w:tc>
          <w:tcPr>
            <w:tcW w:type="dxa" w:w="3300"/>
            <w:tcBorders>
              <w:top w:val="single" w:color="BFBFBF" w:sz="4"/>
              <w:left w:val="single" w:color="BFBFBF" w:sz="4"/>
              <w:bottom w:val="single" w:color="BFBFBF" w:sz="4"/>
              <w:right w:val="single" w:color="BFBFBF" w:sz="4"/>
            </w:tcBorders>
            <w:shd w:fill="EEF1F4" w:val="clear"/>
            <w:tcMar>
              <w:top w:type="dxa" w:w="80"/>
              <w:left w:type="dxa" w:w="120"/>
              <w:bottom w:type="dxa" w:w="80"/>
              <w:right w:type="dxa" w:w="120"/>
            </w:tcMar>
          </w:tcPr>
          <w:p>
            <w:pPr>
              <w:spacing w:after="0" w:before="0" w:line="260"/>
            </w:pPr>
            <w:r>
              <w:rPr>
                <w:b/>
                <w:bCs/>
              </w:rPr>
              <w:t xml:space="preserve">Calm-sleep nights (2025, pre-intervention)</w:t>
            </w:r>
          </w:p>
        </w:tc>
        <w:tc>
          <w:tcPr>
            <w:tcW w:type="dxa" w:w="3300"/>
            <w:tcBorders>
              <w:top w:val="single" w:color="BFBFBF" w:sz="4"/>
              <w:left w:val="single" w:color="BFBFBF" w:sz="4"/>
              <w:bottom w:val="single" w:color="BFBFBF" w:sz="4"/>
              <w:right w:val="single" w:color="BFBFBF" w:sz="4"/>
            </w:tcBorders>
            <w:shd w:fill="EEF1F4" w:val="clear"/>
            <w:tcMar>
              <w:top w:type="dxa" w:w="80"/>
              <w:left w:type="dxa" w:w="120"/>
              <w:bottom w:type="dxa" w:w="80"/>
              <w:right w:type="dxa" w:w="120"/>
            </w:tcMar>
          </w:tcPr>
          <w:p>
            <w:pPr>
              <w:spacing w:after="0" w:before="0" w:line="260"/>
            </w:pPr>
            <w:r>
              <w:rPr>
                <w:b/>
                <w:bCs/>
              </w:rPr>
              <w:t xml:space="preserve">Calm-sleep nights (2026, post-intervention)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b w:val="false"/>
                <w:bCs w:val="false"/>
              </w:rPr>
              <w:t xml:space="preserve">March</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b w:val="false"/>
                <w:bCs w:val="false"/>
              </w:rPr>
              <w:t xml:space="preserve">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b w:val="false"/>
                <w:bCs w:val="false"/>
              </w:rPr>
              <w:t xml:space="preserve">3</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b w:val="false"/>
                <w:bCs w:val="false"/>
              </w:rPr>
              <w:t xml:space="preserve">April</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b w:val="false"/>
                <w:bCs w:val="false"/>
              </w:rPr>
              <w:t xml:space="preserve">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b w:val="false"/>
                <w:bCs w:val="false"/>
              </w:rPr>
              <w:t xml:space="preserve">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b w:val="false"/>
                <w:bCs w:val="false"/>
              </w:rPr>
              <w:t xml:space="preserve">May</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b w:val="false"/>
                <w:bCs w:val="false"/>
              </w:rPr>
              <w:t xml:space="preserve">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b w:val="false"/>
                <w:bCs w:val="false"/>
              </w:rPr>
              <w:t xml:space="preserve">7</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b w:val="false"/>
                <w:bCs w:val="false"/>
              </w:rPr>
              <w:t xml:space="preserve">Three-month total</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b w:val="false"/>
                <w:bCs w:val="false"/>
              </w:rPr>
              <w:t xml:space="preserve">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b w:val="false"/>
                <w:bCs w:val="false"/>
              </w:rPr>
              <w:t xml:space="preserve">15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b w:val="false"/>
                <w:bCs w:val="false"/>
              </w:rPr>
              <w:t xml:space="preserve">Monthly average</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b w:val="false"/>
                <w:bCs w:val="false"/>
              </w:rPr>
              <w:t xml:space="preserve">~0.7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b w:val="false"/>
                <w:bCs w:val="false"/>
              </w:rPr>
              <w:t xml:space="preserve">~5.0</w:t>
            </w:r>
          </w:p>
        </w:tc>
      </w:tr>
    </w:tbl>
    <w:p>
      <w:pPr>
        <w:spacing w:after="200" w:before="100" w:line="290"/>
      </w:pPr>
      <w:r>
        <w:rPr>
          <w:i/>
          <w:iCs/>
        </w:rPr>
        <w:t xml:space="preserve">Table 2.1. Garmin-classified calm-sleep night counts in the n=1 record across matched March–May windows pre- and post-intervention. Pre-intervention three months (autumn 2025): 2 calm nights total. Post-intervention three months (autumn 2026): 15 calm nights total — a ≈7.5× increase in calm-night frequency across matched seasonal windows.</w:t>
      </w:r>
    </w:p>
    <w:p>
      <w:pPr>
        <w:spacing w:after="120" w:before="120" w:line="300"/>
        <w:jc w:val="left"/>
      </w:pPr>
      <w:r>
        <w:t xml:space="preserve">What this thread does and does not show. The calm-sleep classification is Garmin’s aggregate, not the bimodality metric. It is a downstream summary that integrates many factors and cannot be decomposed into individual contributors. The comparison is across matched seasonal windows (autumn-to-autumn on the Highveld) in the same subject, which removes the dominant confounder of seasonal autonomic variation. But the metric remains opaque — we do not know which component of the aggregate moved most, and the classification threshold is set by Garmin, not by the subject or this analysis.</w:t>
      </w:r>
    </w:p>
    <w:p>
      <w:pPr>
        <w:spacing w:after="120" w:before="120" w:line="300"/>
        <w:jc w:val="left"/>
      </w:pPr>
      <w:r>
        <w:t xml:space="preserve">What it does show is that a coarse-grained, manufacturer-provided summary of overall sleep autonomic state — designed independently of the bimodality framework — moved in the same direction as the bimodality collapse and the bradycardia resolution, across the same intervention window, in the same subject. Three independent metrics (one structural, one cardiac, one aggregate) all shifted together. That is informative even though no single one of the three is, on its own, a hypertension-relevant outcome.</w:t>
      </w:r>
    </w:p>
    <w:p>
      <w:pPr>
        <w:pStyle w:val="Heading1"/>
        <w:spacing w:after="200" w:before="320"/>
      </w:pPr>
      <w:r>
        <w:t xml:space="preserve">3. The chain from sleep biomarker to blood pressure: what is and is not claimed</w:t>
      </w:r>
    </w:p>
    <w:p>
      <w:pPr>
        <w:spacing w:after="120" w:before="120" w:line="300"/>
        <w:jc w:val="left"/>
      </w:pPr>
      <w:r>
        <w:t xml:space="preserve">This is the section where the public-health framing has to be most careful, because this is where the chain of inference is longest and most easily overclaimed. The chain has four links. Each one is examined honestly below.</w:t>
      </w:r>
    </w:p>
    <w:p>
      <w:pPr>
        <w:pStyle w:val="Heading2"/>
        <w:spacing w:after="160" w:before="240"/>
      </w:pPr>
      <w:r>
        <w:t xml:space="preserve">Link 1 — Bimodality is a state-stability marker (well-supported in n=1)</w:t>
      </w:r>
    </w:p>
    <w:p>
      <w:pPr>
        <w:spacing w:after="120" w:before="120" w:line="300"/>
        <w:jc w:val="left"/>
      </w:pPr>
      <w:r>
        <w:t xml:space="preserve">The bimodality phenotype is structural: it identifies whether REM respiration is locked into a two-state pattern (typically posture-dependent) or operating in a single stable state. The collapse from ~90% to 0% across the intervention is the strongest signal in the dataset. The paired bradycardia/oscillating-respiration resolution co-occurring with the bimodality collapse strengthens the structural interpretation, because three independent observables moved together rather than just one.</w:t>
      </w:r>
    </w:p>
    <w:p>
      <w:pPr>
        <w:spacing w:after="120" w:before="120" w:line="300"/>
        <w:jc w:val="left"/>
      </w:pPr>
      <w:r>
        <w:t xml:space="preserve">This link is well-supported within n=1. Its weakness is generalisation — the Phase A population-scale test is what closes that gap.</w:t>
      </w:r>
    </w:p>
    <w:p>
      <w:pPr>
        <w:pStyle w:val="Heading2"/>
        <w:spacing w:after="160" w:before="240"/>
      </w:pPr>
      <w:r>
        <w:t xml:space="preserve">Link 2 — The bimodality collapse coincides with broader sleep autonomic improvement (supported by Thread B)</w:t>
      </w:r>
    </w:p>
    <w:p>
      <w:pPr>
        <w:spacing w:after="120" w:before="120" w:line="300"/>
        <w:jc w:val="left"/>
      </w:pPr>
      <w:r>
        <w:t xml:space="preserve">The calm-sleep night-count data from Thread B is the supporting evidence for this link. A 7.5× increase in Garmin-classified calm nights across matched seasonal windows, in the same subject, in the same intervention window, says that the structural change (Thread A) was accompanied by a broader downstream improvement in overall sleep autonomic quality as measured by an independent aggregate.</w:t>
      </w:r>
    </w:p>
    <w:p>
      <w:pPr>
        <w:spacing w:after="120" w:before="120" w:line="300"/>
        <w:jc w:val="left"/>
      </w:pPr>
      <w:r>
        <w:t xml:space="preserve">This link is moderately supported. The calm-sleep classification is opaque and proprietary, but it was designed without reference to the bimodality framework, so its movement is not a tautology with Thread A. It is corroboration from a different angle.</w:t>
      </w:r>
    </w:p>
    <w:p>
      <w:pPr>
        <w:pStyle w:val="Heading2"/>
        <w:spacing w:after="160" w:before="240"/>
      </w:pPr>
      <w:r>
        <w:t xml:space="preserve">Link 3 — Improved sleep autonomic quality reduces sympathetic dominance over time (established in the literature, not in this n=1)</w:t>
      </w:r>
    </w:p>
    <w:p>
      <w:pPr>
        <w:spacing w:after="120" w:before="120" w:line="300"/>
        <w:jc w:val="left"/>
      </w:pPr>
      <w:r>
        <w:t xml:space="preserve">Beyond this point the chain leaves the personal data and enters the published literature. Three relationships are established with varying confidence in the broader literature:</w:t>
      </w:r>
    </w:p>
    <w:p>
      <w:pPr>
        <w:pStyle w:val="ListParagraph"/>
        <w:numPr>
          <w:ilvl w:val="0"/>
          <w:numId w:val="2"/>
        </w:numPr>
        <w:spacing w:after="60" w:before="60" w:line="290"/>
      </w:pPr>
      <w:r>
        <w:t xml:space="preserve">Sleep-disordered breathing (obstructive, central, and complex patterns) is causally associated with elevated daytime blood pressure. CPAP treatment in apnoea responders produces measured systolic reductions in the range of approximately 2–7 mmHg.</w:t>
      </w:r>
    </w:p>
    <w:p>
      <w:pPr>
        <w:pStyle w:val="ListParagraph"/>
        <w:numPr>
          <w:ilvl w:val="0"/>
          <w:numId w:val="2"/>
        </w:numPr>
        <w:spacing w:after="60" w:before="60" w:line="290"/>
      </w:pPr>
      <w:r>
        <w:t xml:space="preserve">Sustained improvement in sleep quality and sleep duration is associated with reduced sympathetic tone and lower resting blood pressure in observational and interventional studies, in the range of approximately 2–5 mmHg systolic.</w:t>
      </w:r>
    </w:p>
    <w:p>
      <w:pPr>
        <w:pStyle w:val="ListParagraph"/>
        <w:numPr>
          <w:ilvl w:val="0"/>
          <w:numId w:val="2"/>
        </w:numPr>
        <w:spacing w:after="60" w:before="60" w:line="290"/>
      </w:pPr>
      <w:r>
        <w:t xml:space="preserve">Regular aerobic exercise produces systolic reductions in the range of approximately 4–9 mmHg in hypertensive and pre-hypertensive populations.</w:t>
      </w:r>
    </w:p>
    <w:p>
      <w:pPr>
        <w:spacing w:after="120" w:before="120" w:line="300"/>
        <w:jc w:val="left"/>
      </w:pPr>
      <w:r>
        <w:t xml:space="preserve">These ranges come from established literature in populations that are not the n=1 subject. They are reference points, not claims about this subject’s blood pressure. The relationship between an autonomic-sleep biomarker shift and measured blood pressure outcome is the link that has not been demonstrated in the personal data, because measured blood pressure outcomes were not part of the personal monitoring programme.</w:t>
      </w:r>
    </w:p>
    <w:p>
      <w:pPr>
        <w:pStyle w:val="Heading2"/>
        <w:spacing w:after="160" w:before="240"/>
      </w:pPr>
      <w:r>
        <w:t xml:space="preserve">Link 4 — Therefore the intervention may produce a clinically meaningful BP reduction (hypothesis, not claim)</w:t>
      </w:r>
    </w:p>
    <w:p>
      <w:pPr>
        <w:spacing w:after="120" w:before="120" w:line="300"/>
        <w:jc w:val="left"/>
      </w:pPr>
      <w:r>
        <w:t xml:space="preserve">Combining links 1–3 yields a hypothesis, not a claim: if the bimodality collapse and calm-sleep increase reflect a real shift in sleep autonomic quality of the magnitude suggested by Thread A and Thread B, then by reference to established literature, an associated systolic blood pressure reduction in the range of approximately 2–8 mmHg would be plausible. This range is borrowed from comparator interventions (CPAP, exercise, sleep-quality improvement) and is offered as the prior to be tested, not as an observed effect in this subject.</w:t>
      </w:r>
    </w:p>
    <w:p>
      <w:pPr>
        <w:spacing w:after="120" w:before="120" w:line="300"/>
        <w:jc w:val="left"/>
      </w:pPr>
      <w:r>
        <w:t xml:space="preserve">The honest statement of the chain is this: the structural and aggregate evidence in n=1 is consistent with the kind of autonomic shift that, in other studies on other subjects, has been associated with clinically meaningful blood pressure reductions. Whether this association holds in the present subject — and whether the underlying mechanism generalises to others — cannot be answered without measured blood pressure data, ideally pre- and post-intervention, ideally with a sham-control or formal washout, ideally in subjects other than the investigator. None of those steps has yet been done. All of them are doable.</w:t>
      </w:r>
    </w:p>
    <w:p>
      <w:pPr>
        <w:spacing w:after="120" w:before="120" w:line="300"/>
      </w:pPr>
      <w:r>
        <w:rPr>
          <w:b/>
          <w:bCs/>
        </w:rPr>
        <w:t xml:space="preserve">The single sentence summary. </w:t>
      </w:r>
      <w:r>
        <w:t xml:space="preserve">A candidate non-pharmacological pathway exists that, in a single subject with unusually well-characterised baseline, produced effect sizes on autonomic-sleep markers in a range that, in published cohorts, has been associated with clinically meaningful blood pressure reductions. The cost of finding out whether this generalises is low. The cost of not finding out is whatever fraction of the 26,088 annual under-45 Gauteng hypertension diagnoses turns out to have been addressable upstream.</w:t>
      </w:r>
    </w:p>
    <w:p>
      <w:pPr>
        <w:pStyle w:val="Heading1"/>
        <w:spacing w:after="200" w:before="320"/>
      </w:pPr>
      <w:r>
        <w:t xml:space="preserve">4. Proposed testing pathway</w:t>
      </w:r>
    </w:p>
    <w:p>
      <w:pPr>
        <w:spacing w:after="120" w:before="120" w:line="300"/>
        <w:jc w:val="left"/>
      </w:pPr>
      <w:r>
        <w:t xml:space="preserve">Three converging studies, each independently abortable, would close the chain from n=1 hypothesis to public-health-relevant evidence. They are listed in order of cost. Each builds on the result of the prior step.</w:t>
      </w:r>
    </w:p>
    <w:p>
      <w:pPr>
        <w:pStyle w:val="Heading2"/>
        <w:spacing w:after="160" w:before="240"/>
      </w:pPr>
      <w:r>
        <w:t xml:space="preserve">4.1 Step 1 — Phase A bimodality detection in existing wearable data (≈one analyst-week)</w:t>
      </w:r>
    </w:p>
    <w:p>
      <w:pPr>
        <w:spacing w:after="120" w:before="120" w:line="300"/>
        <w:jc w:val="left"/>
      </w:pPr>
      <w:r>
        <w:t xml:space="preserve">This is the test specified in the Garmin Health submission. The pipeline is fully documented (Gaussian Mixture Model k=1 vs k=2 fitting with BIC comparison, ΔBIC &gt; 6 threshold, weight ≥ 0.25, mean separation ≥ 0.5 brpm, false-positive control via synthetic unimodal data targeting &lt;5% FP rate). It runs on existing data, requires no new collection, and returns a binary answer:</w:t>
      </w:r>
    </w:p>
    <w:p>
      <w:pPr>
        <w:pStyle w:val="ListParagraph"/>
        <w:numPr>
          <w:ilvl w:val="0"/>
          <w:numId w:val="2"/>
        </w:numPr>
        <w:spacing w:after="60" w:before="60" w:line="290"/>
      </w:pPr>
      <w:r>
        <w:t xml:space="preserve">Positive: a non-trivial fraction of users in the test sample show stable bimodality above the false-positive floor → the phenotype exists at population scale → proceed to Step 2.</w:t>
      </w:r>
    </w:p>
    <w:p>
      <w:pPr>
        <w:pStyle w:val="ListParagraph"/>
        <w:numPr>
          <w:ilvl w:val="0"/>
          <w:numId w:val="2"/>
        </w:numPr>
        <w:spacing w:after="60" w:before="60" w:line="290"/>
      </w:pPr>
      <w:r>
        <w:t xml:space="preserve">Negative: BI distribution indistinguishable from synthetic-unimodal baseline → the phenotype does not generalise from n=1 → the hypothesis is not supported, and the public-health argument in this document is moot.</w:t>
      </w:r>
    </w:p>
    <w:p>
      <w:pPr>
        <w:spacing w:after="120" w:before="120" w:line="300"/>
        <w:jc w:val="left"/>
      </w:pPr>
      <w:r>
        <w:t xml:space="preserve">A negative result here is informative and worth publishing. The asymmetric cost of running it argues for running it regardless of prior probability. This step is the one most directly under the control of any wearable platform with access to user respiration data.</w:t>
      </w:r>
    </w:p>
    <w:p>
      <w:pPr>
        <w:pStyle w:val="Heading2"/>
        <w:spacing w:after="160" w:before="240"/>
      </w:pPr>
      <w:r>
        <w:t xml:space="preserve">4.2 Step 2 — Cross-sectional bimodality prevalence in a hypertension-relevant cohort (≈6 months)</w:t>
      </w:r>
    </w:p>
    <w:p>
      <w:pPr>
        <w:spacing w:after="120" w:before="120" w:line="300"/>
        <w:jc w:val="left"/>
      </w:pPr>
      <w:r>
        <w:t xml:space="preserve">Conditional on a positive Step 1, the next question is whether the bimodality phenotype is enriched in the at-risk population the Gauteng numbers point to. The natural cohort is adults aged 18–44, screened via existing public-health channels in Gauteng, stratified by whether they have an elevated-but-not-yet-diagnosed-hypertensive reading (e.g. 130–139 / 80–89 mmHg) or a normal reading.</w:t>
      </w:r>
    </w:p>
    <w:p>
      <w:pPr>
        <w:pStyle w:val="ListParagraph"/>
        <w:numPr>
          <w:ilvl w:val="0"/>
          <w:numId w:val="2"/>
        </w:numPr>
        <w:spacing w:after="60" w:before="60" w:line="290"/>
      </w:pPr>
      <w:r>
        <w:t xml:space="preserve">Sample size: ≈5,000 participants for adequate power on prevalence differences between strata at expected effect sizes.</w:t>
      </w:r>
    </w:p>
    <w:p>
      <w:pPr>
        <w:pStyle w:val="ListParagraph"/>
        <w:numPr>
          <w:ilvl w:val="0"/>
          <w:numId w:val="2"/>
        </w:numPr>
        <w:spacing w:after="60" w:before="60" w:line="290"/>
      </w:pPr>
      <w:r>
        <w:t xml:space="preserve">Primary endpoint: difference in median per-participant Bimodality Index between the elevated-reading stratum and the normal-reading stratum.</w:t>
      </w:r>
    </w:p>
    <w:p>
      <w:pPr>
        <w:pStyle w:val="ListParagraph"/>
        <w:numPr>
          <w:ilvl w:val="0"/>
          <w:numId w:val="2"/>
        </w:numPr>
        <w:spacing w:after="60" w:before="60" w:line="290"/>
      </w:pPr>
      <w:r>
        <w:t xml:space="preserve">Decision rule: if median BI is significantly elevated in the at-risk stratum, the bimodality phenotype is a candidate screening marker for autonomically-driven pre-hypertension. If not, the phenotype generalises (Step 1 positive) but is not specifically informative for the hypertension pathway, and the public-health argument needs different framing.</w:t>
      </w:r>
    </w:p>
    <w:p>
      <w:pPr>
        <w:spacing w:after="120" w:before="120" w:line="300"/>
        <w:jc w:val="left"/>
      </w:pPr>
      <w:r>
        <w:t xml:space="preserve">This step requires wearable distribution, informed consent, and ethics approval, but no novel methodology. The Eskom proposal in this repository documents the ethics, governance, and worker-protection framework that would apply here too. The clinical-population framing is different from the occupational-cohort framing of the Eskom pilot but the methodological core is the same.</w:t>
      </w:r>
    </w:p>
    <w:p>
      <w:pPr>
        <w:pStyle w:val="Heading2"/>
        <w:spacing w:after="160" w:before="240"/>
      </w:pPr>
      <w:r>
        <w:t xml:space="preserve">4.3 Step 3 — Intervention study with measured blood pressure outcomes (≈12–18 months)</w:t>
      </w:r>
    </w:p>
    <w:p>
      <w:pPr>
        <w:spacing w:after="120" w:before="120" w:line="300"/>
        <w:jc w:val="left"/>
      </w:pPr>
      <w:r>
        <w:t xml:space="preserve">Conditional on positive Step 1 and Step 2, the final step is the one that closes the chain to measured blood pressure outcome. Identify participants with stable bimodality and elevated-but-not-yet-hypertensive readings; apply the candidate intervention (mechanical sleep-surface coupling, or other interventions surfaced by Step 2 findings) for a defined window (e.g. 12 weeks); measure systolic and diastolic blood pressure pre, mid, and post.</w:t>
      </w:r>
    </w:p>
    <w:p>
      <w:pPr>
        <w:pStyle w:val="ListParagraph"/>
        <w:numPr>
          <w:ilvl w:val="0"/>
          <w:numId w:val="2"/>
        </w:numPr>
        <w:spacing w:after="60" w:before="60" w:line="290"/>
      </w:pPr>
      <w:r>
        <w:t xml:space="preserve">Design class: randomised controlled, sham-controlled where feasible, with formal washout in a sub-arm.</w:t>
      </w:r>
    </w:p>
    <w:p>
      <w:pPr>
        <w:pStyle w:val="ListParagraph"/>
        <w:numPr>
          <w:ilvl w:val="0"/>
          <w:numId w:val="2"/>
        </w:numPr>
        <w:spacing w:after="60" w:before="60" w:line="290"/>
      </w:pPr>
      <w:r>
        <w:t xml:space="preserve">Primary endpoint: change in systolic blood pressure at 12 weeks compared to control, with secondary endpoint of bimodality collapse coincident with BP change.</w:t>
      </w:r>
    </w:p>
    <w:p>
      <w:pPr>
        <w:pStyle w:val="ListParagraph"/>
        <w:numPr>
          <w:ilvl w:val="0"/>
          <w:numId w:val="2"/>
        </w:numPr>
        <w:spacing w:after="60" w:before="60" w:line="290"/>
      </w:pPr>
      <w:r>
        <w:t xml:space="preserve">Sample size: governed by the prior on effect size from comparator interventions (CPAP, exercise, sleep-quality improvement); approximately 200–400 participants for adequate power on a 4 mmHg primary endpoint.</w:t>
      </w:r>
    </w:p>
    <w:p>
      <w:pPr>
        <w:spacing w:after="120" w:before="120" w:line="300"/>
        <w:jc w:val="left"/>
      </w:pPr>
      <w:r>
        <w:t xml:space="preserve">This is the step that produces evidence that would meet the bar for inclusion in clinical guidelines. It is also the most resource-intensive and the one furthest from any individual researcher’s independent capacity. It is included here to show what the trajectory looks like, not to propose it as an immediate action.</w:t>
      </w:r>
    </w:p>
    <w:p>
      <w:pPr>
        <w:pStyle w:val="Heading2"/>
        <w:spacing w:after="160" w:before="240"/>
      </w:pPr>
      <w:r>
        <w:t xml:space="preserve">4.4 Combined timeline and resource envelope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800"/>
        <w:gridCol w:w="2100"/>
      </w:tblGrid>
      <w:tr>
        <w:tc>
          <w:tcPr>
            <w:tcW w:type="dxa" w:w="2400"/>
            <w:tcBorders>
              <w:top w:val="single" w:color="BFBFBF" w:sz="4"/>
              <w:left w:val="single" w:color="BFBFBF" w:sz="4"/>
              <w:bottom w:val="single" w:color="BFBFBF" w:sz="4"/>
              <w:right w:val="single" w:color="BFBFBF" w:sz="4"/>
            </w:tcBorders>
            <w:shd w:fill="EEF1F4" w:val="clear"/>
            <w:tcMar>
              <w:top w:type="dxa" w:w="80"/>
              <w:left w:type="dxa" w:w="120"/>
              <w:bottom w:type="dxa" w:w="80"/>
              <w:right w:type="dxa" w:w="120"/>
            </w:tcMar>
          </w:tcPr>
          <w:p>
            <w:pPr>
              <w:spacing w:after="0" w:before="0" w:line="260"/>
            </w:pPr>
            <w:r>
              <w:rPr>
                <w:b/>
                <w:bCs/>
              </w:rPr>
              <w:t xml:space="preserve">Step</w:t>
            </w:r>
          </w:p>
        </w:tc>
        <w:tc>
          <w:tcPr>
            <w:tcW w:type="dxa" w:w="1900"/>
            <w:tcBorders>
              <w:top w:val="single" w:color="BFBFBF" w:sz="4"/>
              <w:left w:val="single" w:color="BFBFBF" w:sz="4"/>
              <w:bottom w:val="single" w:color="BFBFBF" w:sz="4"/>
              <w:right w:val="single" w:color="BFBFBF" w:sz="4"/>
            </w:tcBorders>
            <w:shd w:fill="EEF1F4" w:val="clear"/>
            <w:tcMar>
              <w:top w:type="dxa" w:w="80"/>
              <w:left w:type="dxa" w:w="120"/>
              <w:bottom w:type="dxa" w:w="80"/>
              <w:right w:type="dxa" w:w="120"/>
            </w:tcMar>
          </w:tcPr>
          <w:p>
            <w:pPr>
              <w:spacing w:after="0" w:before="0" w:line="260"/>
            </w:pPr>
            <w:r>
              <w:rPr>
                <w:b/>
                <w:bCs/>
              </w:rPr>
              <w:t xml:space="preserve">Duration</w:t>
            </w:r>
          </w:p>
        </w:tc>
        <w:tc>
          <w:tcPr>
            <w:tcW w:type="dxa" w:w="2800"/>
            <w:tcBorders>
              <w:top w:val="single" w:color="BFBFBF" w:sz="4"/>
              <w:left w:val="single" w:color="BFBFBF" w:sz="4"/>
              <w:bottom w:val="single" w:color="BFBFBF" w:sz="4"/>
              <w:right w:val="single" w:color="BFBFBF" w:sz="4"/>
            </w:tcBorders>
            <w:shd w:fill="EEF1F4" w:val="clear"/>
            <w:tcMar>
              <w:top w:type="dxa" w:w="80"/>
              <w:left w:type="dxa" w:w="120"/>
              <w:bottom w:type="dxa" w:w="80"/>
              <w:right w:type="dxa" w:w="120"/>
            </w:tcMar>
          </w:tcPr>
          <w:p>
            <w:pPr>
              <w:spacing w:after="0" w:before="0" w:line="260"/>
            </w:pPr>
            <w:r>
              <w:rPr>
                <w:b/>
                <w:bCs/>
              </w:rPr>
              <w:t xml:space="preserve">Indicative cost</w:t>
            </w:r>
          </w:p>
        </w:tc>
        <w:tc>
          <w:tcPr>
            <w:tcW w:type="dxa" w:w="2100"/>
            <w:tcBorders>
              <w:top w:val="single" w:color="BFBFBF" w:sz="4"/>
              <w:left w:val="single" w:color="BFBFBF" w:sz="4"/>
              <w:bottom w:val="single" w:color="BFBFBF" w:sz="4"/>
              <w:right w:val="single" w:color="BFBFBF" w:sz="4"/>
            </w:tcBorders>
            <w:shd w:fill="EEF1F4" w:val="clear"/>
            <w:tcMar>
              <w:top w:type="dxa" w:w="80"/>
              <w:left w:type="dxa" w:w="120"/>
              <w:bottom w:type="dxa" w:w="80"/>
              <w:right w:type="dxa" w:w="120"/>
            </w:tcMar>
          </w:tcPr>
          <w:p>
            <w:pPr>
              <w:spacing w:after="0" w:before="0" w:line="260"/>
            </w:pPr>
            <w:r>
              <w:rPr>
                <w:b/>
                <w:bCs/>
              </w:rPr>
              <w:t xml:space="preserve">Closes which link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b w:val="false"/>
                <w:bCs w:val="false"/>
              </w:rPr>
              <w:t xml:space="preserve">Step 1 — Phase A detection</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b w:val="false"/>
                <w:bCs w:val="false"/>
              </w:rPr>
              <w:t xml:space="preserve">1 week analyst time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b w:val="false"/>
                <w:bCs w:val="false"/>
              </w:rPr>
              <w:t xml:space="preserve">&lt; $5,000 USD if on existing data</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b w:val="false"/>
                <w:bCs w:val="false"/>
              </w:rPr>
              <w:t xml:space="preserve">Link 1 (generalisation)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b w:val="false"/>
                <w:bCs w:val="false"/>
              </w:rPr>
              <w:t xml:space="preserve">Step 2 — Cross-sectional cohort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b w:val="false"/>
                <w:bCs w:val="false"/>
              </w:rPr>
              <w:t xml:space="preserve">6 months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b w:val="false"/>
                <w:bCs w:val="false"/>
              </w:rPr>
              <w:t xml:space="preserve">≈ R5–10M ZAR</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b w:val="false"/>
                <w:bCs w:val="false"/>
              </w:rPr>
              <w:t xml:space="preserve">Link 2 + cohort-specificity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b w:val="false"/>
                <w:bCs w:val="false"/>
              </w:rPr>
              <w:t xml:space="preserve">Step 3 — BP outcome RCT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b w:val="false"/>
                <w:bCs w:val="false"/>
              </w:rPr>
              <w:t xml:space="preserve">12–18 months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b w:val="false"/>
                <w:bCs w:val="false"/>
              </w:rPr>
              <w:t xml:space="preserve">≈ R30–60M ZAR</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60"/>
            </w:pPr>
            <w:r>
              <w:rPr>
                <w:b w:val="false"/>
                <w:bCs w:val="false"/>
              </w:rPr>
              <w:t xml:space="preserve">Links 3–4 (BP causation)</w:t>
            </w:r>
          </w:p>
        </w:tc>
      </w:tr>
    </w:tbl>
    <w:p>
      <w:pPr>
        <w:spacing w:after="200" w:before="100" w:line="290"/>
      </w:pPr>
      <w:r>
        <w:rPr>
          <w:i/>
          <w:iCs/>
        </w:rPr>
        <w:t xml:space="preserve">Table 4.1. Indicative resource envelope for the three-step pathway from n=1 hypothesis to BP-outcome evidence. Each step is independently abortable: a negative result at any step ends the pathway. The cost asymmetry (Step 1 is roughly four orders of magnitude cheaper than Step 3) is what justifies running Step 1 even at moderate prior probability.</w:t>
      </w:r>
    </w:p>
    <w:p>
      <w:pPr>
        <w:pStyle w:val="Heading1"/>
        <w:spacing w:after="200" w:before="320"/>
      </w:pPr>
      <w:r>
        <w:t xml:space="preserve">5. Limitations</w:t>
      </w:r>
    </w:p>
    <w:p>
      <w:pPr>
        <w:spacing w:after="120" w:before="120" w:line="300"/>
        <w:jc w:val="left"/>
      </w:pPr>
      <w:r>
        <w:t xml:space="preserve">Read together with the limitations sections of the other documents in this repository, which apply unchanged here. The public-health framing adds the following additional limitations specific to this document:</w:t>
      </w:r>
    </w:p>
    <w:p>
      <w:pPr>
        <w:pStyle w:val="ListParagraph"/>
        <w:numPr>
          <w:ilvl w:val="0"/>
          <w:numId w:val="2"/>
        </w:numPr>
        <w:spacing w:after="60" w:before="60" w:line="290"/>
      </w:pPr>
      <w:r>
        <w:t xml:space="preserve">No measured blood pressure data in n=1. The most consequential limitation. The case for a BP-relevant biomarker rests on inference from autonomic-sleep markers to BP outcome, with the connecting link borrowed from comparator interventions. Closing this gap in the n=1 subject is a R500 home BP cuff used three times weekly over a sustained window. That cost is trivial and the experiment is straightforward; the lack of data so far is an accident of the research direction, not a methodological choice.</w:t>
      </w:r>
    </w:p>
    <w:p>
      <w:pPr>
        <w:pStyle w:val="ListParagraph"/>
        <w:numPr>
          <w:ilvl w:val="0"/>
          <w:numId w:val="2"/>
        </w:numPr>
        <w:spacing w:after="60" w:before="60" w:line="290"/>
      </w:pPr>
      <w:r>
        <w:t xml:space="preserve">Calm-sleep is a proprietary aggregate. Garmin’s calm-sleep classification is an opaque composite. Its movement is corroborative rather than definitive, and the magnitude of the increase (≈7.5×) cannot be directly translated into any clinical metric. It is reported here because it moved in the same direction as the primary signal, not because it constitutes independent evidence.</w:t>
      </w:r>
    </w:p>
    <w:p>
      <w:pPr>
        <w:pStyle w:val="ListParagraph"/>
        <w:numPr>
          <w:ilvl w:val="0"/>
          <w:numId w:val="2"/>
        </w:numPr>
        <w:spacing w:after="60" w:before="60" w:line="290"/>
      </w:pPr>
      <w:r>
        <w:t xml:space="preserve">Single subject. Repeated from the other documents because it bears repeating in the public-health context: a public-health argument cannot be made on n=1 data. The argument here is for running the population-scale test that would convert n=1 into population evidence; it is not for acting on the n=1 evidence directly.</w:t>
      </w:r>
    </w:p>
    <w:p>
      <w:pPr>
        <w:pStyle w:val="ListParagraph"/>
        <w:numPr>
          <w:ilvl w:val="0"/>
          <w:numId w:val="2"/>
        </w:numPr>
        <w:spacing w:after="60" w:before="60" w:line="290"/>
      </w:pPr>
      <w:r>
        <w:t xml:space="preserve">The hypertension subset hypothesis is itself unproven. The framing that 10–20% of new young-adult hypertension diagnoses might be autonomically-driven and addressable upstream is a structured hypothesis based on the heterogeneity-of-hypertension literature, not a measured fraction. Step 2 of the proposed pathway is what would estimate this fraction empirically.</w:t>
      </w:r>
    </w:p>
    <w:p>
      <w:pPr>
        <w:pStyle w:val="ListParagraph"/>
        <w:numPr>
          <w:ilvl w:val="0"/>
          <w:numId w:val="2"/>
        </w:numPr>
        <w:spacing w:after="60" w:before="60" w:line="290"/>
      </w:pPr>
      <w:r>
        <w:t xml:space="preserve">No clinical or regulatory framework engagement. This document is a research framing, not a regulatory pathway. Any intervention deployed at population scale on the basis of this work would require separate clinical-trial, regulatory, and reimbursement pathways that are outside the scope of this document.</w:t>
      </w:r>
    </w:p>
    <w:p>
      <w:pPr>
        <w:pStyle w:val="Heading1"/>
        <w:spacing w:after="200" w:before="320"/>
      </w:pPr>
      <w:r>
        <w:t xml:space="preserve">6. What would change the picture</w:t>
      </w:r>
    </w:p>
    <w:p>
      <w:pPr>
        <w:pStyle w:val="Heading2"/>
        <w:spacing w:after="160" w:before="240"/>
      </w:pPr>
      <w:r>
        <w:t xml:space="preserve">Up</w:t>
      </w:r>
    </w:p>
    <w:p>
      <w:pPr>
        <w:pStyle w:val="ListParagraph"/>
        <w:numPr>
          <w:ilvl w:val="0"/>
          <w:numId w:val="2"/>
        </w:numPr>
        <w:spacing w:after="60" w:before="60" w:line="290"/>
      </w:pPr>
      <w:r>
        <w:t xml:space="preserve">Step 1 (Phase A) returns a non-trivial above-floor bimodality population, with stable within-user BI — the phenotype generalises.</w:t>
      </w:r>
    </w:p>
    <w:p>
      <w:pPr>
        <w:pStyle w:val="ListParagraph"/>
        <w:numPr>
          <w:ilvl w:val="0"/>
          <w:numId w:val="2"/>
        </w:numPr>
        <w:spacing w:after="60" w:before="60" w:line="290"/>
      </w:pPr>
      <w:r>
        <w:t xml:space="preserve">In the n=1 subject, sustained home BP monitoring over a defined washout period shows a measurable systolic increase during washout and decrease during restoration, in the magnitude range suggested by comparator interventions.</w:t>
      </w:r>
    </w:p>
    <w:p>
      <w:pPr>
        <w:pStyle w:val="ListParagraph"/>
        <w:numPr>
          <w:ilvl w:val="0"/>
          <w:numId w:val="2"/>
        </w:numPr>
        <w:spacing w:after="60" w:before="60" w:line="290"/>
      </w:pPr>
      <w:r>
        <w:t xml:space="preserve">A second subject using the documented replication instrument reproduces both the bimodality collapse and a measurable BP shift across the same intervention window.</w:t>
      </w:r>
    </w:p>
    <w:p>
      <w:pPr>
        <w:pStyle w:val="ListParagraph"/>
        <w:numPr>
          <w:ilvl w:val="0"/>
          <w:numId w:val="2"/>
        </w:numPr>
        <w:spacing w:after="60" w:before="60" w:line="290"/>
      </w:pPr>
      <w:r>
        <w:t xml:space="preserve">Independent published case reports surface the same paired phenotype (bimodality + bradycardia + oscillating respiration) resolving with non-pharmacological intervention in subjects with autonomic dysregulation.</w:t>
      </w:r>
    </w:p>
    <w:p>
      <w:pPr>
        <w:pStyle w:val="Heading2"/>
        <w:spacing w:after="160" w:before="240"/>
      </w:pPr>
      <w:r>
        <w:t xml:space="preserve">Down</w:t>
      </w:r>
    </w:p>
    <w:p>
      <w:pPr>
        <w:pStyle w:val="ListParagraph"/>
        <w:numPr>
          <w:ilvl w:val="0"/>
          <w:numId w:val="2"/>
        </w:numPr>
        <w:spacing w:after="60" w:before="60" w:line="290"/>
      </w:pPr>
      <w:r>
        <w:t xml:space="preserve">Step 1 returns no above-floor bimodality population — the phenotype does not generalise, and the entire public-health argument is moot.</w:t>
      </w:r>
    </w:p>
    <w:p>
      <w:pPr>
        <w:pStyle w:val="ListParagraph"/>
        <w:numPr>
          <w:ilvl w:val="0"/>
          <w:numId w:val="2"/>
        </w:numPr>
        <w:spacing w:after="60" w:before="60" w:line="290"/>
      </w:pPr>
      <w:r>
        <w:t xml:space="preserve">The n=1 subject’s washout BP data shows no shift, suggesting the autonomic-sleep improvement does not translate to measurable BP in this subject — the chain breaks at Link 3.</w:t>
      </w:r>
    </w:p>
    <w:p>
      <w:pPr>
        <w:pStyle w:val="ListParagraph"/>
        <w:numPr>
          <w:ilvl w:val="0"/>
          <w:numId w:val="2"/>
        </w:numPr>
        <w:spacing w:after="60" w:before="60" w:line="290"/>
      </w:pPr>
      <w:r>
        <w:t xml:space="preserve">Step 2 prevalence in the elevated-BP stratum is not significantly elevated relative to the normal-BP stratum — the phenotype generalises but is not specifically informative for the hypertension pathway, requiring re-framing rather than retraction.</w:t>
      </w:r>
    </w:p>
    <w:p>
      <w:pPr>
        <w:pStyle w:val="ListParagraph"/>
        <w:numPr>
          <w:ilvl w:val="0"/>
          <w:numId w:val="2"/>
        </w:numPr>
        <w:spacing w:after="60" w:before="60" w:line="290"/>
      </w:pPr>
      <w:r>
        <w:t xml:space="preserve">A formal sham-controlled intervention study (Step 3) shows no BP effect beyond placebo — the candidate intervention is real for bimodality but not effective for BP outcome.</w:t>
      </w:r>
    </w:p>
    <w:p>
      <w:pPr>
        <w:pStyle w:val="Heading1"/>
        <w:spacing w:after="200" w:before="320"/>
      </w:pPr>
      <w:r>
        <w:t xml:space="preserve">7. Honest summary</w:t>
      </w:r>
    </w:p>
    <w:p>
      <w:pPr>
        <w:spacing w:after="120" w:before="120" w:line="300"/>
        <w:jc w:val="left"/>
      </w:pPr>
      <w:r>
        <w:t xml:space="preserve">A 3.5-year n=1 record with a stable multi-year baseline and four months of post-intervention follow-up shows a coherent shift in three independent autonomic-sleep markers (REM-respiration bimodality, weekly bradycardic shoulder, Garmin calm-sleep classification) following a low-cost, non-pharmacological environmental intervention. By inference from published comparator interventions, the magnitude of the observed autonomic-sleep shift is in a range that, in other populations, has been associated with clinically meaningful blood pressure reductions.</w:t>
      </w:r>
    </w:p>
    <w:p>
      <w:pPr>
        <w:spacing w:after="120" w:before="120" w:line="300"/>
        <w:jc w:val="left"/>
      </w:pPr>
      <w:r>
        <w:t xml:space="preserve">The Gauteng surge in young-adult hypertension diagnoses provides the public-health context in which this hypothesis matters. If a meaningful fraction of those 26,088 annual diagnoses sit in the autonomically-driven subset and can be identified early via a software-only biomarker pipeline, the cost-benefit math for upstream non-pharmacological intervention shifts substantially in favour of testing.</w:t>
      </w:r>
    </w:p>
    <w:p>
      <w:pPr>
        <w:spacing w:after="120" w:before="120" w:line="300"/>
        <w:jc w:val="left"/>
      </w:pPr>
      <w:r>
        <w:t xml:space="preserve">What this document asks for is not action on the hypothesis. It is the running of the cheapest test that would tell us whether the hypothesis is worth pursuing. That test is Step 1 — the Phase A pipeline applied to existing wearable data, returning a binary answer in approximately one analyst-week. The remaining steps are conditional on its result. The Gauteng numbers, and the timeline they imply for the cohort of young adults whose trajectory has not yet been pharmacologically committed, are the reason this seed is worth planting now rather than later.</w:t>
      </w:r>
    </w:p>
    <w:p>
      <w:pPr>
        <w:pStyle w:val="Heading1"/>
        <w:spacing w:after="200" w:before="320"/>
      </w:pPr>
      <w:r>
        <w:t xml:space="preserve">About this document</w:t>
      </w:r>
    </w:p>
    <w:p>
      <w:pPr>
        <w:spacing w:after="120" w:before="120" w:line="300"/>
        <w:jc w:val="left"/>
      </w:pPr>
      <w:r>
        <w:t xml:space="preserve">This is the sixth framing in a multi-angle exploration of REM-respiration bimodality as a candidate digital biomarker. The other five framings in this repository — the bimodality-test skill with its user manual, the Garmin Health 2026 competition submission, the Dr Thomas physiological-review note, the Eskom occupational-pilot proposal, and the medRxiv preprint — each address the underlying observation for a different audience. This document is the broadest framing of the six and the one with the longest inference chain. It is included because the asymmetric cost of testing the hypothesis (low) versus not testing it (potentially high, in the context of the Gauteng surge) makes the framing worth committing to writing even though the chain of evidence is still incomplete.</w:t>
      </w:r>
    </w:p>
    <w:p>
      <w:pPr>
        <w:spacing w:after="120" w:before="120" w:line="300"/>
        <w:jc w:val="left"/>
      </w:pPr>
      <w:r>
        <w:t xml:space="preserve">The author is an electronic product design engineer based in Pretoria, with prior research experience in physiological adaptation to Highveld climatic conditions including a regional health-tech programme finalist position (The Innovation Hub, Pretoria) for a related thermoregulation product, and personal post-COVID symptoms originating in February 2020 that motivated the original research direction. The author is not a clinician, not an academic researcher in cardiovascular medicine or public health, and not in a position to lead any of the proposed studies independently. The document is structured to invite engagement from those who are.</w:t>
      </w:r>
    </w:p>
    <w:p>
      <w:pPr>
        <w:spacing w:after="120" w:before="120" w:line="300"/>
        <w:jc w:val="left"/>
      </w:pPr>
      <w:r>
        <w:t xml:space="preserve">The document is offered in good faith, with no commercial intent and no proprietary stake in any specific intervention. The detection methodology is open and fully specified across the accompanying documents; the synthetic validation datasets that anchor the false-positive control are available on request. The author has no financial interest in any wearable manufacturer or any candidate intervention. The MeacoFan-Solenco disclosure regarding the secondary-utility observation that motivated the n=1 mechanical intervention is documented in the Garmin Health submission and the preprint and applies here unchanged.</w:t>
      </w:r>
    </w:p>
    <w:p>
      <w:pPr>
        <w:spacing w:after="120" w:before="120" w:line="300"/>
        <w:jc w:val="left"/>
      </w:pPr>
      <w:r>
        <w:t xml:space="preserve">Questions, requests for the underlying methodology specification in greater detail, requests for the synthetic validation datasets, or expressions of interest in collaboration on any of the three proposed steps are welcomed and can be addressed directly to the author.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6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4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2026-05-23T09:18:49.354Z</dcterms:created>
  <dcterms:modified xsi:type="dcterms:W3CDTF">2026-05-23T09:18:49.355Z</dcterms:modified>
</cp:coreProperties>
</file>

<file path=docProps/custom.xml><?xml version="1.0" encoding="utf-8"?>
<Properties xmlns="http://schemas.openxmlformats.org/officeDocument/2006/custom-properties" xmlns:vt="http://schemas.openxmlformats.org/officeDocument/2006/docPropsVTypes"/>
</file>