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rPr>
          <w:rFonts w:ascii="Times New Roman" w:hAnsi="Times New Roman"/>
          <w:b w:val="false"/>
          <w:b w:val="false"/>
          <w:sz w:val="28"/>
          <w:szCs w:val="28"/>
        </w:rPr>
      </w:pPr>
      <w:r>
        <w:rPr>
          <w:rFonts w:ascii="Times New Roman" w:hAnsi="Times New Roman"/>
          <w:b w:val="false"/>
          <w:sz w:val="28"/>
          <w:szCs w:val="28"/>
        </w:rPr>
        <w:t>Министерство образования Республики Беларусь</w:t>
      </w:r>
    </w:p>
    <w:p>
      <w:pPr>
        <w:pStyle w:val="Subtitle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ubtitle"/>
        <w:spacing w:lineRule="auto" w:lin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>
      <w:pPr>
        <w:pStyle w:val="Normal"/>
        <w:jc w:val="center"/>
        <w:rPr>
          <w:caps/>
          <w:szCs w:val="28"/>
        </w:rPr>
      </w:pPr>
      <w:r>
        <w:rPr>
          <w:caps/>
          <w:szCs w:val="28"/>
        </w:rPr>
        <w:t>информатики и радиоэлектроники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Факультет</w:t>
        <w:tab/>
        <w:t>компьютерного проектирования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Кафедра проектирования информационно-компьютерных систем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  <w:t>Лабораторная работа №3</w:t>
      </w:r>
    </w:p>
    <w:p>
      <w:pPr>
        <w:pStyle w:val="Normal"/>
        <w:jc w:val="center"/>
        <w:rPr>
          <w:b/>
          <w:b/>
          <w:szCs w:val="28"/>
        </w:rPr>
      </w:pPr>
      <w:r>
        <w:rPr>
          <w:b/>
          <w:szCs w:val="28"/>
        </w:rPr>
        <w:t>«</w:t>
      </w:r>
      <w:r>
        <w:rPr>
          <w:szCs w:val="28"/>
        </w:rPr>
        <w:t>НЕЛИНЕЙНАЯ ПАРНАЯ РЕГРЕССИЯ</w:t>
      </w:r>
      <w:r>
        <w:rPr>
          <w:b/>
          <w:szCs w:val="28"/>
        </w:rPr>
        <w:t>»</w:t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spacing w:before="0" w:after="0"/>
        <w:jc w:val="center"/>
        <w:rPr>
          <w:szCs w:val="28"/>
        </w:rPr>
      </w:pPr>
      <w:r>
        <w:rPr>
          <w:szCs w:val="28"/>
        </w:rPr>
      </w:r>
    </w:p>
    <w:p>
      <w:pPr>
        <w:pStyle w:val="TextBody"/>
        <w:spacing w:before="0" w:after="0"/>
        <w:rPr>
          <w:szCs w:val="28"/>
        </w:rPr>
      </w:pPr>
      <w:r>
        <w:rPr>
          <w:szCs w:val="28"/>
        </w:rPr>
      </w:r>
    </w:p>
    <w:p>
      <w:pPr>
        <w:pStyle w:val="TextBody"/>
        <w:spacing w:before="0" w:after="0"/>
        <w:rPr>
          <w:szCs w:val="28"/>
        </w:rPr>
      </w:pPr>
      <w:r>
        <w:rPr>
          <w:szCs w:val="28"/>
        </w:rPr>
      </w:r>
    </w:p>
    <w:tbl>
      <w:tblPr>
        <w:tblStyle w:val="ab"/>
        <w:tblW w:w="8730" w:type="dxa"/>
        <w:jc w:val="left"/>
        <w:tblInd w:w="959" w:type="dxa"/>
        <w:tblCellMar>
          <w:top w:w="0" w:type="dxa"/>
          <w:left w:w="11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822"/>
        <w:gridCol w:w="2907"/>
      </w:tblGrid>
      <w:tr>
        <w:trPr>
          <w:trHeight w:val="927" w:hRule="atLeast"/>
        </w:trPr>
        <w:tc>
          <w:tcPr>
            <w:tcW w:w="582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1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  <w:p>
            <w:pPr>
              <w:pStyle w:val="Normal"/>
              <w:rPr>
                <w:szCs w:val="28"/>
              </w:rPr>
            </w:pPr>
            <w:r>
              <w:rPr>
                <w:szCs w:val="28"/>
              </w:rPr>
              <w:t>Пискун Г. А.</w:t>
            </w:r>
          </w:p>
        </w:tc>
        <w:tc>
          <w:tcPr>
            <w:tcW w:w="290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Style1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</w:t>
            </w:r>
          </w:p>
          <w:p>
            <w:pPr>
              <w:pStyle w:val="Style15"/>
              <w:jc w:val="both"/>
              <w:rPr/>
            </w:pPr>
            <w:r>
              <w:rPr>
                <w:sz w:val="28"/>
                <w:szCs w:val="28"/>
              </w:rPr>
              <w:t>магистрант гр. 81810</w:t>
            </w:r>
            <w:r>
              <w:rPr>
                <w:sz w:val="28"/>
                <w:szCs w:val="28"/>
              </w:rPr>
              <w:t>1</w:t>
            </w:r>
          </w:p>
          <w:p>
            <w:pPr>
              <w:pStyle w:val="Style15"/>
              <w:jc w:val="both"/>
              <w:rPr/>
            </w:pPr>
            <w:bookmarkStart w:id="0" w:name="_GoBack"/>
            <w:bookmarkEnd w:id="0"/>
            <w:r>
              <w:rPr>
                <w:sz w:val="28"/>
                <w:szCs w:val="28"/>
              </w:rPr>
              <w:t>К</w:t>
            </w:r>
            <w:r>
              <w:rPr/>
              <w:t>овальский Н.И.</w:t>
            </w:r>
          </w:p>
        </w:tc>
      </w:tr>
    </w:tbl>
    <w:p>
      <w:pPr>
        <w:pStyle w:val="TextBody"/>
        <w:spacing w:before="360" w:after="0"/>
        <w:jc w:val="center"/>
        <w:rPr/>
      </w:pPr>
      <w:r>
        <w:rPr/>
      </w:r>
    </w:p>
    <w:p>
      <w:pPr>
        <w:pStyle w:val="TextBody"/>
        <w:spacing w:before="360" w:after="0"/>
        <w:jc w:val="center"/>
        <w:rPr/>
      </w:pPr>
      <w:r>
        <w:rPr/>
      </w:r>
    </w:p>
    <w:p>
      <w:pPr>
        <w:pStyle w:val="Title"/>
        <w:spacing w:lineRule="auto" w:line="240" w:before="360" w:after="0"/>
        <w:rPr>
          <w:rFonts w:ascii="Times New Roman" w:hAnsi="Times New Roman"/>
          <w:b w:val="false"/>
          <w:b w:val="false"/>
          <w:sz w:val="28"/>
          <w:szCs w:val="24"/>
        </w:rPr>
      </w:pPr>
      <w:r>
        <w:rPr>
          <w:rFonts w:ascii="Times New Roman" w:hAnsi="Times New Roman"/>
          <w:b w:val="false"/>
          <w:sz w:val="28"/>
          <w:szCs w:val="24"/>
        </w:rPr>
        <w:t>Минск 2018</w:t>
      </w:r>
      <w:r>
        <w:br w:type="page"/>
      </w:r>
    </w:p>
    <w:p>
      <w:pPr>
        <w:pStyle w:val="Normal"/>
        <w:ind w:firstLine="708"/>
        <w:jc w:val="both"/>
        <w:rPr>
          <w:color w:val="000000"/>
          <w:lang w:bidi="ru-RU"/>
        </w:rPr>
      </w:pPr>
      <w:bookmarkStart w:id="1" w:name="bookmark1"/>
      <w:r>
        <w:rPr>
          <w:b/>
          <w:color w:val="000000"/>
          <w:lang w:bidi="ru-RU"/>
        </w:rPr>
        <w:t>Цели работы</w:t>
      </w:r>
      <w:r>
        <w:rPr>
          <w:color w:val="000000"/>
          <w:lang w:bidi="ru-RU"/>
        </w:rPr>
        <w:t>:</w:t>
      </w:r>
      <w:bookmarkEnd w:id="1"/>
      <w:r>
        <w:rPr>
          <w:color w:val="000000"/>
          <w:lang w:bidi="ru-RU"/>
        </w:rPr>
        <w:t xml:space="preserve"> научиться работать с регрессиями на примере зависимости выпуска продукции от потребления материала.</w:t>
      </w:r>
    </w:p>
    <w:p>
      <w:pPr>
        <w:pStyle w:val="Normal"/>
        <w:ind w:firstLine="708"/>
        <w:jc w:val="both"/>
        <w:rPr>
          <w:color w:val="000000"/>
          <w:lang w:bidi="ru-RU"/>
        </w:rPr>
      </w:pPr>
      <w:r>
        <w:rPr>
          <w:color w:val="000000"/>
          <w:lang w:bidi="ru-RU"/>
        </w:rPr>
      </w:r>
    </w:p>
    <w:p>
      <w:pPr>
        <w:pStyle w:val="Title"/>
        <w:spacing w:lineRule="auto" w:line="24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Ход работы:</w:t>
      </w:r>
    </w:p>
    <w:p>
      <w:pPr>
        <w:pStyle w:val="Title"/>
        <w:spacing w:lineRule="auto" w:line="24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</w:r>
    </w:p>
    <w:p>
      <w:pPr>
        <w:pStyle w:val="ListParagraph"/>
        <w:ind w:left="0" w:firstLine="708"/>
        <w:rPr/>
      </w:pPr>
      <w:r>
        <w:rPr>
          <w:szCs w:val="28"/>
        </w:rPr>
        <w:t>1.</w:t>
      </w:r>
      <w:r>
        <w:rPr>
          <w:b/>
          <w:szCs w:val="28"/>
        </w:rPr>
        <w:t xml:space="preserve"> </w:t>
      </w:r>
      <w:r>
        <w:rPr/>
        <w:t>Построение нелинейной регрессии.</w:t>
      </w:r>
    </w:p>
    <w:p>
      <w:pPr>
        <w:pStyle w:val="Normal"/>
        <w:ind w:firstLine="708"/>
        <w:rPr/>
      </w:pPr>
      <w:r>
        <w:rPr/>
        <w:t>Исходными данными являются потребление материалов на единицу продукции (кг.) и соответствующий выпуск продукции (тыс. ед.), представленные в таблице 1.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rPr/>
      </w:pPr>
      <w:r>
        <w:rPr/>
        <w:t>Таблица 1 – Исходные данные</w:t>
      </w:r>
    </w:p>
    <w:tbl>
      <w:tblPr>
        <w:tblW w:w="96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59"/>
      </w:tblGrid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4"/>
                <w:lang w:val="be-BY" w:eastAsia="be-BY"/>
              </w:rPr>
            </w:pPr>
            <w:r>
              <w:rPr>
                <w:color w:val="000000"/>
                <w:sz w:val="24"/>
                <w:lang w:val="be-BY" w:eastAsia="be-BY"/>
              </w:rPr>
              <w:t>X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3,7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3,6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3,5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6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7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4"/>
                <w:lang w:val="be-BY" w:eastAsia="be-BY"/>
              </w:rPr>
            </w:pPr>
            <w:r>
              <w:rPr>
                <w:color w:val="000000"/>
                <w:sz w:val="24"/>
                <w:lang w:val="be-BY" w:eastAsia="be-BY"/>
              </w:rPr>
              <w:t>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100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200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300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400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500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600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700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150</w:t>
            </w:r>
          </w:p>
        </w:tc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color w:val="333333"/>
                <w:sz w:val="24"/>
              </w:rPr>
            </w:pPr>
            <w:r>
              <w:rPr>
                <w:color w:val="333333"/>
                <w:sz w:val="24"/>
              </w:rPr>
              <w:t>120</w:t>
            </w:r>
          </w:p>
        </w:tc>
      </w:tr>
    </w:tbl>
    <w:p>
      <w:pPr>
        <w:pStyle w:val="Normal"/>
        <w:ind w:firstLine="708"/>
        <w:rPr/>
      </w:pPr>
      <w:r>
        <w:rPr/>
      </w:r>
    </w:p>
    <w:p>
      <w:pPr>
        <w:pStyle w:val="Normal"/>
        <w:ind w:firstLine="708"/>
        <w:rPr/>
      </w:pPr>
      <w:r>
        <w:rPr/>
        <w:t>По таблице 1 построим диаграмму (рисунок 1).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524375" cy="2286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1 – Диаграмма исходных данных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Из рисунка 1 видно, что зависимость нелинейная. Используем степенную функцию </w:t>
      </w:r>
      <w:r>
        <w:rPr>
          <w:i/>
          <w:lang w:val="en-US"/>
        </w:rPr>
        <w:t>y</w:t>
      </w:r>
      <w:r>
        <w:rPr>
          <w:i/>
        </w:rPr>
        <w:t xml:space="preserve"> = </w:t>
      </w:r>
      <w:r>
        <w:rPr>
          <w:i/>
          <w:lang w:val="en-US"/>
        </w:rPr>
        <w:t>ax</w:t>
      </w:r>
      <w:r>
        <w:rPr>
          <w:i/>
          <w:vertAlign w:val="superscript"/>
          <w:lang w:val="en-US"/>
        </w:rPr>
        <w:t>b</w:t>
      </w:r>
      <w:r>
        <w:rPr/>
        <w:t xml:space="preserve">. Для логарифмической зависимости </w:t>
      </w:r>
      <w:r>
        <w:rPr>
          <w:i/>
          <w:lang w:val="en-US"/>
        </w:rPr>
        <w:t>y</w:t>
      </w:r>
      <w:r>
        <w:rPr/>
        <w:t xml:space="preserve">* = </w:t>
      </w:r>
      <w:r>
        <w:rPr>
          <w:i/>
          <w:lang w:val="en-US"/>
        </w:rPr>
        <w:t>a</w:t>
      </w:r>
      <w:r>
        <w:rPr/>
        <w:t xml:space="preserve">* + </w:t>
      </w:r>
      <w:r>
        <w:rPr>
          <w:i/>
          <w:lang w:val="en-US"/>
        </w:rPr>
        <w:t>bx</w:t>
      </w:r>
      <w:r>
        <w:rPr/>
        <w:t>*.</w:t>
      </w:r>
    </w:p>
    <w:p>
      <w:pPr>
        <w:pStyle w:val="Normal"/>
        <w:jc w:val="both"/>
        <w:rPr/>
      </w:pPr>
      <w:r>
        <w:rPr/>
        <w:tab/>
        <w:t>Исходные данные и основные вычисления приведены в таблице 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2 – Вычисления</w:t>
      </w:r>
    </w:p>
    <w:tbl>
      <w:tblPr>
        <w:tblW w:w="957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27"/>
        <w:gridCol w:w="1801"/>
        <w:gridCol w:w="1053"/>
        <w:gridCol w:w="1051"/>
        <w:gridCol w:w="1"/>
        <w:gridCol w:w="1051"/>
        <w:gridCol w:w="1"/>
        <w:gridCol w:w="1053"/>
        <w:gridCol w:w="1"/>
        <w:gridCol w:w="1051"/>
        <w:gridCol w:w="1"/>
        <w:gridCol w:w="1382"/>
      </w:tblGrid>
      <w:tr>
        <w:trPr>
          <w:trHeight w:val="300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x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x* = lnx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y* = lny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x2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y2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(y-y-)2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y^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(y-y^)2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2,197224577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4,60517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4,827796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21,20759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1,025257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2,197224577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1,791759469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5,298317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3,210402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28,07217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0,102018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1,791759469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1,609437912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5,703782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2,59029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32,53313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0,007407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1,609437912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1,386294361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5,991465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1,921812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35,89765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0,139685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1,386294361</w:t>
            </w:r>
          </w:p>
        </w:tc>
      </w:tr>
      <w:tr>
        <w:trPr>
          <w:trHeight w:val="300" w:hRule="atLeast"/>
        </w:trPr>
        <w:tc>
          <w:tcPr>
            <w:tcW w:w="50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Cs w:val="28"/>
                <w:lang w:val="en-US" w:eastAsia="be-BY"/>
              </w:rPr>
            </w:pPr>
            <w:r>
              <w:rPr>
                <w:color w:val="000000"/>
                <w:szCs w:val="28"/>
                <w:lang w:val="be-BY" w:eastAsia="be-BY"/>
              </w:rPr>
              <w:t xml:space="preserve">Продолжение таблицы </w:t>
            </w:r>
            <w:r>
              <w:rPr>
                <w:color w:val="000000"/>
                <w:szCs w:val="28"/>
                <w:lang w:val="en-US" w:eastAsia="be-BY"/>
              </w:rPr>
              <w:t>2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r>
          </w:p>
        </w:tc>
        <w:tc>
          <w:tcPr>
            <w:tcW w:w="1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x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x* = lnx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y* = lny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x2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y2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(y-y-)2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y^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be-BY" w:eastAsia="be-BY"/>
              </w:rPr>
              <w:t>(y-y^)2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3,7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1,30833282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6,214608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1,711735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38,62135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0,356275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3,7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1,30833282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1,280933845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6,39693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1,640792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40,92071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0,607168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3,6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1,280933845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1,252762968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6,55108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1,569415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42,91665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0,871162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3,5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1,252762968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1,791759469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5,010635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3,210402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25,10647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0,368552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1,791759469</w:t>
            </w:r>
          </w:p>
        </w:tc>
      </w:tr>
      <w:tr>
        <w:trPr>
          <w:trHeight w:val="300" w:hRule="atLeast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1,945910149</w:t>
            </w:r>
          </w:p>
        </w:tc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4,787492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3,786566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22,92008</w:t>
            </w:r>
          </w:p>
        </w:tc>
        <w:tc>
          <w:tcPr>
            <w:tcW w:w="1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0,689279</w:t>
            </w:r>
          </w:p>
        </w:tc>
        <w:tc>
          <w:tcPr>
            <w:tcW w:w="10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color w:val="000000"/>
                <w:sz w:val="22"/>
                <w:szCs w:val="22"/>
              </w:rPr>
              <w:t>1,945910149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ab/>
        <w:t xml:space="preserve">Находим коэффициенты </w:t>
      </w:r>
      <w:r>
        <w:rPr>
          <w:i/>
          <w:lang w:val="en-US"/>
        </w:rPr>
        <w:t>a</w:t>
      </w:r>
      <w:r>
        <w:rPr/>
        <w:t xml:space="preserve"> и </w:t>
      </w:r>
      <w:r>
        <w:rPr>
          <w:i/>
          <w:lang w:val="en-US"/>
        </w:rPr>
        <w:t>b</w:t>
      </w:r>
      <w:r>
        <w:rPr/>
        <w:t xml:space="preserve">, </w:t>
      </w:r>
      <w:r>
        <w:rPr>
          <w:i/>
          <w:lang w:val="en-US"/>
        </w:rPr>
        <w:t>a</w:t>
      </w:r>
      <w:r>
        <w:rPr/>
        <w:t xml:space="preserve"> = 8312,92, </w:t>
      </w:r>
      <w:r>
        <w:rPr>
          <w:i/>
          <w:lang w:val="en-US"/>
        </w:rPr>
        <w:t>b</w:t>
      </w:r>
      <w:r>
        <w:rPr/>
        <w:t xml:space="preserve"> = -2,105.</w:t>
      </w:r>
    </w:p>
    <w:p>
      <w:pPr>
        <w:pStyle w:val="Normal"/>
        <w:rPr/>
      </w:pPr>
      <w:r>
        <w:rPr/>
        <w:tab/>
        <w:t xml:space="preserve">Уравнение примет вид </w:t>
      </w:r>
      <w:r>
        <w:rPr>
          <w:i/>
          <w:lang w:val="en-US"/>
        </w:rPr>
        <w:t>y</w:t>
      </w:r>
      <w:r>
        <w:rPr/>
        <w:t xml:space="preserve"> =8312,92</w:t>
      </w:r>
      <w:r>
        <w:rPr>
          <w:i/>
          <w:lang w:val="en-US"/>
        </w:rPr>
        <w:t>x</w:t>
      </w:r>
      <w:r>
        <w:rPr>
          <w:vertAlign w:val="superscript"/>
        </w:rPr>
        <w:t>-2,105</w:t>
      </w:r>
      <w:r>
        <w:rPr/>
        <w:t>.</w:t>
      </w:r>
    </w:p>
    <w:p>
      <w:pPr>
        <w:pStyle w:val="Normal"/>
        <w:rPr/>
      </w:pPr>
      <w:r>
        <w:rPr/>
        <w:tab/>
        <w:t xml:space="preserve">Вычислим </w:t>
      </w:r>
      <w:r>
        <w:rPr>
          <w:i/>
          <w:lang w:val="en-US"/>
        </w:rPr>
        <w:t>Qe</w:t>
      </w:r>
      <w:r>
        <w:rPr>
          <w:i/>
        </w:rPr>
        <w:t xml:space="preserve"> </w:t>
      </w:r>
      <w:r>
        <w:rPr/>
        <w:t xml:space="preserve">= 18770,74 и </w:t>
      </w:r>
      <w:r>
        <w:rPr>
          <w:i/>
          <w:lang w:val="en-US"/>
        </w:rPr>
        <w:t>Q</w:t>
      </w:r>
      <w:r>
        <w:rPr/>
        <w:t xml:space="preserve"> = 1396725.</w:t>
      </w:r>
    </w:p>
    <w:p>
      <w:pPr>
        <w:pStyle w:val="Normal"/>
        <w:rPr/>
      </w:pPr>
      <w:r>
        <w:rPr/>
        <w:tab/>
        <w:t xml:space="preserve">Далее по формуле </w:t>
      </w:r>
      <w:r>
        <w:rPr>
          <w:i/>
          <w:lang w:val="en-US"/>
        </w:rPr>
        <w:t>R</w:t>
      </w:r>
      <w:r>
        <w:rPr>
          <w:vertAlign w:val="superscript"/>
        </w:rPr>
        <w:t>2</w:t>
      </w:r>
      <w:r>
        <w:rPr/>
        <w:t xml:space="preserve"> = 1 – </w:t>
      </w:r>
      <w:r>
        <w:rPr>
          <w:i/>
          <w:lang w:val="en-US"/>
        </w:rPr>
        <w:t>Qe</w:t>
      </w:r>
      <w:r>
        <w:rPr>
          <w:i/>
        </w:rPr>
        <w:t>/</w:t>
      </w:r>
      <w:r>
        <w:rPr>
          <w:i/>
          <w:lang w:val="en-US"/>
        </w:rPr>
        <w:t>Q</w:t>
      </w:r>
      <w:r>
        <w:rPr/>
        <w:t xml:space="preserve"> находим индекс детерминации. </w:t>
      </w:r>
      <w:r>
        <w:rPr>
          <w:i/>
          <w:lang w:val="en-US"/>
        </w:rPr>
        <w:t>R</w:t>
      </w:r>
      <w:r>
        <w:rPr>
          <w:vertAlign w:val="superscript"/>
        </w:rPr>
        <w:t>2</w:t>
      </w:r>
      <w:r>
        <w:rPr/>
        <w:t xml:space="preserve"> = 0,99.</w:t>
      </w:r>
    </w:p>
    <w:p>
      <w:pPr>
        <w:pStyle w:val="Normal"/>
        <w:rPr/>
      </w:pPr>
      <w:r>
        <w:rPr/>
        <w:tab/>
        <w:t>Из полученного значения можно сделать вывод, что 99% дисперсии результативного признака объясняется уравнением регрессии, а на долю прочих фактов приходится всего 1%.</w:t>
      </w:r>
    </w:p>
    <w:p>
      <w:pPr>
        <w:pStyle w:val="Normal"/>
        <w:rPr/>
      </w:pPr>
      <w:r>
        <w:rPr/>
      </w:r>
    </w:p>
    <w:p>
      <w:pPr>
        <w:pStyle w:val="ListParagraph"/>
        <w:ind w:left="0" w:firstLine="708"/>
        <w:rPr/>
      </w:pPr>
      <w:r>
        <w:rPr/>
        <w:t>2. Построение нелинейной регрессии с использованием команды «Добавить линию тренда».</w:t>
      </w:r>
    </w:p>
    <w:p>
      <w:pPr>
        <w:pStyle w:val="Normal"/>
        <w:ind w:firstLine="708"/>
        <w:rPr/>
      </w:pPr>
      <w:r>
        <w:rPr/>
        <w:t>Для построения регрессий нужно построить по исходным данным график, выполнить команду Добавить линию тренда, выбрать нужное уравнение. Результат показан на рисунке 2.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33570" cy="2638425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Рисунок 2 – Линия тренда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>Величина коэффициента детерминации 0.9045 говорит о хорошем соответствии построенного уравнения исходным данным.</w:t>
      </w:r>
    </w:p>
    <w:p>
      <w:pPr>
        <w:pStyle w:val="Normal"/>
        <w:ind w:firstLine="708"/>
        <w:jc w:val="both"/>
        <w:rPr/>
      </w:pPr>
      <w:r>
        <w:rPr/>
        <w:t>3. Взвешенный метод наименьших квадратов.</w:t>
      </w:r>
    </w:p>
    <w:p>
      <w:pPr>
        <w:pStyle w:val="Normal"/>
        <w:ind w:firstLine="708"/>
        <w:jc w:val="both"/>
        <w:rPr/>
      </w:pPr>
      <w:r>
        <w:rPr/>
        <w:t>После применения обычного МНК выясняется гетероскедантичность остатков: стандартное отклонение остатков линейно увеличивается при увеличении независимой переменной. Необходимо применить модификацию взвешенного МНК для коррекции такой гетероскедастичности.</w:t>
      </w:r>
    </w:p>
    <w:p>
      <w:pPr>
        <w:pStyle w:val="Normal"/>
        <w:ind w:firstLine="708"/>
        <w:jc w:val="both"/>
        <w:rPr/>
      </w:pPr>
      <w:r>
        <w:rPr/>
        <w:t>Для этого формируем массив остатков, показанный на таблице 3.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Таблица </w:t>
      </w:r>
      <w:r>
        <w:rPr>
          <w:lang w:val="en-US"/>
        </w:rPr>
        <w:t>3</w:t>
      </w:r>
      <w:r>
        <w:rPr/>
        <w:t xml:space="preserve"> – Массив остатков</w:t>
      </w:r>
    </w:p>
    <w:tbl>
      <w:tblPr>
        <w:tblW w:w="1418" w:type="dxa"/>
        <w:jc w:val="left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18"/>
      </w:tblGrid>
      <w:tr>
        <w:trPr>
          <w:trHeight w:val="300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color w:val="000000"/>
                <w:sz w:val="24"/>
                <w:lang w:val="be-BY" w:eastAsia="be-BY"/>
              </w:rPr>
            </w:pPr>
            <w:r>
              <w:rPr>
                <w:color w:val="000000"/>
                <w:sz w:val="24"/>
                <w:lang w:val="be-BY" w:eastAsia="be-BY"/>
              </w:rPr>
              <w:t>ei</w:t>
            </w:r>
          </w:p>
        </w:tc>
      </w:tr>
      <w:tr>
        <w:trPr>
          <w:trHeight w:val="300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18,6696505</w:t>
            </w:r>
          </w:p>
        </w:tc>
      </w:tr>
      <w:tr>
        <w:trPr>
          <w:trHeight w:val="300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8,981164078</w:t>
            </w:r>
          </w:p>
        </w:tc>
      </w:tr>
      <w:tr>
        <w:trPr>
          <w:trHeight w:val="300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19,57235784</w:t>
            </w:r>
          </w:p>
        </w:tc>
      </w:tr>
      <w:tr>
        <w:trPr>
          <w:trHeight w:val="300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-48,6418158</w:t>
            </w:r>
          </w:p>
        </w:tc>
      </w:tr>
      <w:tr>
        <w:trPr>
          <w:trHeight w:val="300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-28,6893032</w:t>
            </w:r>
          </w:p>
        </w:tc>
      </w:tr>
      <w:tr>
        <w:trPr>
          <w:trHeight w:val="300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39,90896268</w:t>
            </w:r>
          </w:p>
        </w:tc>
      </w:tr>
      <w:tr>
        <w:trPr>
          <w:trHeight w:val="300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105,6768097</w:t>
            </w:r>
          </w:p>
        </w:tc>
      </w:tr>
      <w:tr>
        <w:trPr>
          <w:trHeight w:val="300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-41,0188359</w:t>
            </w:r>
          </w:p>
        </w:tc>
      </w:tr>
      <w:tr>
        <w:trPr>
          <w:trHeight w:val="300" w:hRule="atLeast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right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-18,0688226</w:t>
            </w:r>
          </w:p>
        </w:tc>
      </w:tr>
    </w:tbl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>Далее модифицируем массивы</w:t>
      </w:r>
      <w:r>
        <w:rPr>
          <w:i/>
        </w:rPr>
        <w:t xml:space="preserve"> </w:t>
      </w:r>
      <w:r>
        <w:rPr>
          <w:i/>
          <w:lang w:val="en-US"/>
        </w:rPr>
        <w:t>x</w:t>
      </w:r>
      <w:r>
        <w:rPr/>
        <w:t>* = 1/</w:t>
      </w:r>
      <w:r>
        <w:rPr>
          <w:i/>
          <w:lang w:val="en-US"/>
        </w:rPr>
        <w:t>x</w:t>
      </w:r>
      <w:r>
        <w:rPr/>
        <w:t xml:space="preserve"> и </w:t>
      </w:r>
      <w:r>
        <w:rPr>
          <w:i/>
          <w:lang w:val="en-US"/>
        </w:rPr>
        <w:t>y</w:t>
      </w:r>
      <w:r>
        <w:rPr/>
        <w:t xml:space="preserve">* = </w:t>
      </w:r>
      <w:r>
        <w:rPr>
          <w:i/>
          <w:lang w:val="en-US"/>
        </w:rPr>
        <w:t>y</w:t>
      </w:r>
      <w:r>
        <w:rPr/>
        <w:t>/</w:t>
      </w:r>
      <w:r>
        <w:rPr>
          <w:i/>
          <w:lang w:val="en-US"/>
        </w:rPr>
        <w:t>x</w:t>
      </w:r>
      <w:r>
        <w:rPr/>
        <w:t xml:space="preserve"> и строим диаграмму. Результат показан на рисунке 3.</w:t>
      </w:r>
    </w:p>
    <w:p>
      <w:pPr>
        <w:pStyle w:val="Normal"/>
        <w:ind w:firstLine="708"/>
        <w:jc w:val="both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  <w:drawing>
          <wp:inline distT="0" distB="0" distL="0" distR="0">
            <wp:extent cx="3476625" cy="220980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center"/>
        <w:rPr/>
      </w:pPr>
      <w:r>
        <w:rPr/>
        <w:t>Рисунок 3 – Диаграмма модифицированных массивов</w:t>
      </w:r>
    </w:p>
    <w:p>
      <w:pPr>
        <w:pStyle w:val="Normal"/>
        <w:ind w:firstLine="708"/>
        <w:jc w:val="center"/>
        <w:rPr/>
      </w:pPr>
      <w:r>
        <w:rPr/>
      </w:r>
    </w:p>
    <w:p>
      <w:pPr>
        <w:pStyle w:val="Normal"/>
        <w:ind w:firstLine="708"/>
        <w:jc w:val="both"/>
        <w:rPr/>
      </w:pPr>
      <w:r>
        <w:rPr/>
        <w:t>Как видно из рисунка 3, модифицированному массиву данных больше подошла полиномиальная функция.</w:t>
      </w:r>
    </w:p>
    <w:p>
      <w:pPr>
        <w:pStyle w:val="Normal"/>
        <w:ind w:firstLine="708"/>
        <w:jc w:val="both"/>
        <w:rPr/>
      </w:pPr>
      <w:r>
        <w:rPr>
          <w:b/>
        </w:rPr>
        <w:t>Вывод</w:t>
      </w:r>
      <w:r>
        <w:rPr/>
        <w:t xml:space="preserve">: в ходе лабораторной работы были исследованы нелинейные регрессии </w:t>
      </w:r>
      <w:r>
        <w:rPr>
          <w:color w:val="000000"/>
          <w:lang w:bidi="ru-RU"/>
        </w:rPr>
        <w:t>на примере зависимости выпуска продукции от потребления материала.</w:t>
      </w:r>
    </w:p>
    <w:sectPr>
      <w:headerReference w:type="default" r:id="rId5"/>
      <w:footerReference w:type="default" r:id="rId6"/>
      <w:type w:val="nextPage"/>
      <w:pgSz w:w="12240" w:h="15840"/>
      <w:pgMar w:left="1701" w:right="850" w:header="720" w:top="1134" w:footer="720" w:bottom="1134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Heading1">
    <w:name w:val="Heading 1"/>
    <w:basedOn w:val="Normal"/>
    <w:link w:val="10"/>
    <w:qFormat/>
    <w:pPr>
      <w:keepNext w:val="true"/>
      <w:ind w:right="-58" w:hanging="0"/>
      <w:jc w:val="center"/>
      <w:outlineLvl w:val="0"/>
    </w:pPr>
    <w:rPr>
      <w:sz w:val="52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link w:val="1"/>
    <w:qFormat/>
    <w:rPr>
      <w:sz w:val="52"/>
      <w:lang w:val="ru-RU" w:eastAsia="ru-RU" w:bidi="ar-SA"/>
    </w:rPr>
  </w:style>
  <w:style w:type="character" w:styleId="Heading11" w:customStyle="1">
    <w:name w:val="Heading #1_"/>
    <w:basedOn w:val="DefaultParagraphFont"/>
    <w:link w:val="Heading10"/>
    <w:qFormat/>
    <w:rsid w:val="00e20028"/>
    <w:rPr>
      <w:sz w:val="30"/>
      <w:szCs w:val="30"/>
      <w:shd w:fill="FFFFFF" w:val="clear"/>
    </w:rPr>
  </w:style>
  <w:style w:type="character" w:styleId="Bodytext3" w:customStyle="1">
    <w:name w:val="Body text (3)_"/>
    <w:basedOn w:val="DefaultParagraphFont"/>
    <w:link w:val="Bodytext30"/>
    <w:qFormat/>
    <w:rsid w:val="00e20028"/>
    <w:rPr>
      <w:sz w:val="30"/>
      <w:szCs w:val="30"/>
      <w:shd w:fill="FFFFFF" w:val="clear"/>
    </w:rPr>
  </w:style>
  <w:style w:type="character" w:styleId="Bodytext314ptNotBold" w:customStyle="1">
    <w:name w:val="Body text (3) + 14 pt;Not Bold"/>
    <w:basedOn w:val="Bodytext3"/>
    <w:qFormat/>
    <w:rsid w:val="00e20028"/>
    <w:rPr>
      <w:color w:val="000000"/>
      <w:spacing w:val="0"/>
      <w:w w:val="100"/>
      <w:sz w:val="28"/>
      <w:szCs w:val="28"/>
      <w:shd w:fill="FFFFFF" w:val="clear"/>
      <w:lang w:val="ru-RU" w:eastAsia="ru-RU" w:bidi="ru-RU"/>
    </w:rPr>
  </w:style>
  <w:style w:type="character" w:styleId="Bodytext2" w:customStyle="1">
    <w:name w:val="Body text (2)_"/>
    <w:basedOn w:val="DefaultParagraphFont"/>
    <w:link w:val="Bodytext20"/>
    <w:qFormat/>
    <w:rsid w:val="00e20028"/>
    <w:rPr>
      <w:sz w:val="28"/>
      <w:szCs w:val="28"/>
      <w:shd w:fill="FFFFFF" w:val="clear"/>
    </w:rPr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6f74be"/>
    <w:rPr>
      <w:sz w:val="28"/>
      <w:szCs w:val="24"/>
    </w:rPr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6f74be"/>
    <w:rPr>
      <w:sz w:val="28"/>
      <w:szCs w:val="24"/>
    </w:rPr>
  </w:style>
  <w:style w:type="character" w:styleId="ListLabel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28"/>
      <w:szCs w:val="28"/>
      <w:u w:val="none"/>
      <w:lang w:val="ru-RU" w:eastAsia="ru-RU" w:bidi="ru-RU"/>
    </w:rPr>
  </w:style>
  <w:style w:type="character" w:styleId="ListLabel2">
    <w:name w:val="ListLabel 2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0"/>
      <w:szCs w:val="30"/>
      <w:u w:val="none"/>
      <w:lang w:val="ru-RU" w:eastAsia="ru-RU" w:bidi="ru-RU"/>
    </w:rPr>
  </w:style>
  <w:style w:type="character" w:styleId="ListLabel3">
    <w:name w:val="ListLabel 3"/>
    <w:qFormat/>
    <w:rPr>
      <w:rFonts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sz w:val="30"/>
      <w:szCs w:val="30"/>
      <w:u w:val="none"/>
      <w:lang w:val="ru-RU" w:eastAsia="ru-RU" w:bidi="ru-RU"/>
    </w:rPr>
  </w:style>
  <w:style w:type="character" w:styleId="ListLabel4">
    <w:name w:val="ListLabel 4"/>
    <w:qFormat/>
    <w:rPr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before="240" w:after="0"/>
      <w:jc w:val="both"/>
    </w:pPr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spacing w:lineRule="auto" w:line="288"/>
      <w:jc w:val="center"/>
    </w:pPr>
    <w:rPr>
      <w:rFonts w:ascii="Arial" w:hAnsi="Arial"/>
      <w:b/>
      <w:sz w:val="38"/>
      <w:szCs w:val="20"/>
    </w:rPr>
  </w:style>
  <w:style w:type="paragraph" w:styleId="Subtitle">
    <w:name w:val="Subtitle"/>
    <w:basedOn w:val="Normal"/>
    <w:qFormat/>
    <w:pPr>
      <w:spacing w:lineRule="auto" w:line="288"/>
      <w:jc w:val="center"/>
    </w:pPr>
    <w:rPr>
      <w:rFonts w:ascii="Arial" w:hAnsi="Arial"/>
      <w:sz w:val="30"/>
      <w:szCs w:val="20"/>
    </w:rPr>
  </w:style>
  <w:style w:type="paragraph" w:styleId="Heading12" w:customStyle="1">
    <w:name w:val="Heading #1"/>
    <w:basedOn w:val="Normal"/>
    <w:link w:val="Heading1"/>
    <w:qFormat/>
    <w:rsid w:val="00e20028"/>
    <w:pPr>
      <w:widowControl w:val="false"/>
      <w:shd w:val="clear" w:color="auto" w:fill="FFFFFF"/>
      <w:spacing w:lineRule="exact" w:line="360" w:before="0" w:after="300"/>
      <w:jc w:val="center"/>
      <w:outlineLvl w:val="0"/>
    </w:pPr>
    <w:rPr>
      <w:b/>
      <w:bCs/>
      <w:sz w:val="30"/>
      <w:szCs w:val="30"/>
    </w:rPr>
  </w:style>
  <w:style w:type="paragraph" w:styleId="Bodytext31" w:customStyle="1">
    <w:name w:val="Body text (3)"/>
    <w:basedOn w:val="Normal"/>
    <w:link w:val="Bodytext3"/>
    <w:qFormat/>
    <w:rsid w:val="00e20028"/>
    <w:pPr>
      <w:widowControl w:val="false"/>
      <w:shd w:val="clear" w:color="auto" w:fill="FFFFFF"/>
      <w:spacing w:lineRule="auto" w:line="240" w:before="300" w:after="300"/>
      <w:ind w:firstLine="600"/>
      <w:jc w:val="both"/>
    </w:pPr>
    <w:rPr>
      <w:b/>
      <w:bCs/>
      <w:sz w:val="30"/>
      <w:szCs w:val="30"/>
    </w:rPr>
  </w:style>
  <w:style w:type="paragraph" w:styleId="Bodytext21" w:customStyle="1">
    <w:name w:val="Body text (2)"/>
    <w:basedOn w:val="Normal"/>
    <w:link w:val="Bodytext2"/>
    <w:qFormat/>
    <w:rsid w:val="00e20028"/>
    <w:pPr>
      <w:widowControl w:val="false"/>
      <w:shd w:val="clear" w:color="auto" w:fill="FFFFFF"/>
      <w:spacing w:lineRule="exact" w:line="353"/>
      <w:jc w:val="both"/>
    </w:pPr>
    <w:rPr>
      <w:szCs w:val="28"/>
    </w:rPr>
  </w:style>
  <w:style w:type="paragraph" w:styleId="ListParagraph">
    <w:name w:val="List Paragraph"/>
    <w:basedOn w:val="Normal"/>
    <w:uiPriority w:val="34"/>
    <w:qFormat/>
    <w:rsid w:val="00ba3a8b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a8"/>
    <w:uiPriority w:val="99"/>
    <w:unhideWhenUsed/>
    <w:rsid w:val="006f74be"/>
    <w:pPr>
      <w:tabs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a"/>
    <w:uiPriority w:val="99"/>
    <w:unhideWhenUsed/>
    <w:rsid w:val="006f74be"/>
    <w:pPr>
      <w:tabs>
        <w:tab w:val="center" w:pos="4677" w:leader="none"/>
        <w:tab w:val="right" w:pos="9355" w:leader="none"/>
      </w:tabs>
    </w:pPr>
    <w:rPr/>
  </w:style>
  <w:style w:type="paragraph" w:styleId="Style15" w:customStyle="1">
    <w:name w:val="Об"/>
    <w:qFormat/>
    <w:rsid w:val="00186d1b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31">
    <w:name w:val="Таблица-сетка 1 светлая — акцент 31"/>
    <w:basedOn w:val="a1"/>
    <w:uiPriority w:val="46"/>
    <w:rsid w:val="00ba3a8b"/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-431">
    <w:name w:val="Таблица-сетка 4 — акцент 31"/>
    <w:basedOn w:val="a1"/>
    <w:uiPriority w:val="49"/>
    <w:rsid w:val="00ba3a8b"/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-531">
    <w:name w:val="Таблица-сетка 5 темная — акцент 31"/>
    <w:basedOn w:val="a1"/>
    <w:uiPriority w:val="50"/>
    <w:rsid w:val="00ba3a8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-231">
    <w:name w:val="Список-таблица 2 — акцент 31"/>
    <w:basedOn w:val="a1"/>
    <w:uiPriority w:val="47"/>
    <w:rsid w:val="00ba3a8b"/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-651">
    <w:name w:val="Таблица-сетка 6 цветная — акцент 51"/>
    <w:basedOn w:val="a1"/>
    <w:uiPriority w:val="51"/>
    <w:rsid w:val="00653588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-751">
    <w:name w:val="Таблица-сетка 7 цветная — акцент 51"/>
    <w:basedOn w:val="a1"/>
    <w:uiPriority w:val="52"/>
    <w:rsid w:val="00653588"/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sz="4" w:space="0"/>
        </w:tcBorders>
      </w:tcPr>
    </w:tblStylePr>
    <w:tblStylePr w:type="nwCell">
      <w:tblPr/>
      <w:tcPr>
        <w:tcBorders>
          <w:bottom w:val="single" w:color="92CDDC" w:themeColor="accent5" w:sz="4" w:space="0"/>
        </w:tcBorders>
      </w:tcPr>
    </w:tblStylePr>
    <w:tblStylePr w:type="seCell">
      <w:tblPr/>
      <w:tcPr>
        <w:tcBorders>
          <w:top w:val="single" w:color="92CDDC" w:themeColor="accent5" w:sz="4" w:space="0"/>
        </w:tcBorders>
      </w:tcPr>
    </w:tblStylePr>
    <w:tblStylePr w:type="swCell">
      <w:tblPr/>
      <w:tcPr>
        <w:tcBorders>
          <w:top w:val="single" w:color="92CDDC" w:themeColor="accent5" w:sz="4" w:space="0"/>
        </w:tcBorders>
      </w:tcPr>
    </w:tblStylePr>
  </w:style>
  <w:style w:type="table" w:customStyle="1" w:styleId="-251">
    <w:name w:val="Список-таблица 2 — акцент 51"/>
    <w:basedOn w:val="a1"/>
    <w:uiPriority w:val="47"/>
    <w:rsid w:val="00f87a5b"/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ab">
    <w:name w:val="Table Grid"/>
    <w:basedOn w:val="a1"/>
    <w:uiPriority w:val="39"/>
    <w:rsid w:val="006e60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f81bd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xVal>
            <c:numRef>
              <c:f>1</c:f>
              <c:numCache>
                <c:formatCode>General</c:formatCode>
                <c:ptCount val="9"/>
                <c:pt idx="0">
                  <c:v>9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3.7</c:v>
                </c:pt>
                <c:pt idx="5">
                  <c:v>3.6</c:v>
                </c:pt>
                <c:pt idx="6">
                  <c:v>3.5</c:v>
                </c:pt>
                <c:pt idx="7">
                  <c:v>6</c:v>
                </c:pt>
                <c:pt idx="8">
                  <c:v>7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150</c:v>
                </c:pt>
                <c:pt idx="8">
                  <c:v>120</c:v>
                </c:pt>
              </c:numCache>
            </c:numRef>
          </c:yVal>
          <c:smooth val="0"/>
        </c:ser>
        <c:axId val="31846267"/>
        <c:axId val="72925573"/>
      </c:scatterChart>
      <c:valAx>
        <c:axId val="31846267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2925573"/>
        <c:crosses val="autoZero"/>
        <c:crossBetween val="midCat"/>
      </c:valAx>
      <c:valAx>
        <c:axId val="7292557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1846267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f81bd"/>
            </a:solidFill>
            <a:ln w="19080">
              <a:solidFill>
                <a:srgbClr val="4f81bd"/>
              </a:solidFill>
              <a:round/>
            </a:ln>
          </c:spPr>
          <c:marker>
            <c:symbol val="none"/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 w="19080">
                <a:solidFill>
                  <a:srgbClr val="4f81bd"/>
                </a:solidFill>
                <a:round/>
              </a:ln>
            </c:spPr>
            <c:trendlineType val="exp"/>
            <c:forward val="0"/>
            <c:backward val="0"/>
            <c:dispRSqr val="1"/>
            <c:dispEq val="1"/>
          </c:trendline>
          <c:xVal>
            <c:numRef>
              <c:f>1</c:f>
              <c:numCache>
                <c:formatCode>General</c:formatCode>
                <c:ptCount val="9"/>
                <c:pt idx="0">
                  <c:v>9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3.7</c:v>
                </c:pt>
                <c:pt idx="5">
                  <c:v>3.6</c:v>
                </c:pt>
                <c:pt idx="6">
                  <c:v>3.5</c:v>
                </c:pt>
                <c:pt idx="7">
                  <c:v>6</c:v>
                </c:pt>
                <c:pt idx="8">
                  <c:v>7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9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150</c:v>
                </c:pt>
                <c:pt idx="8">
                  <c:v>120</c:v>
                </c:pt>
              </c:numCache>
            </c:numRef>
          </c:yVal>
          <c:smooth val="0"/>
        </c:ser>
        <c:axId val="12509473"/>
        <c:axId val="70136224"/>
      </c:scatterChart>
      <c:valAx>
        <c:axId val="12509473"/>
        <c:scaling>
          <c:orientation val="minMax"/>
        </c:scaling>
        <c:delete val="1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878787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Calibri"/>
              </a:defRPr>
            </a:pPr>
          </a:p>
        </c:txPr>
        <c:crossAx val="70136224"/>
        <c:crosses val="autoZero"/>
        <c:crossBetween val="midCat"/>
      </c:valAx>
      <c:valAx>
        <c:axId val="7013622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2509473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scatterChart>
        <c:scatterStyle val="lineMarker"/>
        <c:varyColors val="0"/>
        <c:ser>
          <c:idx val="0"/>
          <c:order val="0"/>
          <c:tx>
            <c:strRef>
              <c:f>label 1</c:f>
              <c:strCache>
                <c:ptCount val="1"/>
                <c:pt idx="0">
                  <c:v/>
                </c:pt>
              </c:strCache>
            </c:strRef>
          </c:tx>
          <c:spPr>
            <a:solidFill>
              <a:srgbClr val="4f81bd"/>
            </a:solidFill>
            <a:ln w="25560">
              <a:noFill/>
            </a:ln>
          </c:spPr>
          <c:marker>
            <c:symbol val="circle"/>
            <c:size val="5"/>
            <c:spPr>
              <a:solidFill>
                <a:srgbClr val="4f81bd"/>
              </a:solidFill>
            </c:spPr>
          </c:marker>
          <c:dLbls>
            <c:numFmt formatCode="General" sourceLinked="1"/>
            <c:dLblPos val="r"/>
            <c:showLegendKey val="0"/>
            <c:showVal val="0"/>
            <c:showCatName val="0"/>
            <c:showSerName val="0"/>
            <c:showPercent val="0"/>
            <c:showLeaderLines val="0"/>
          </c:dLbls>
          <c:trendline>
            <c:spPr>
              <a:ln w="19080">
                <a:solidFill>
                  <a:srgbClr val="4f81bd"/>
                </a:solidFill>
                <a:round/>
              </a:ln>
            </c:spPr>
            <c:trendlineType val="poly"/>
            <c:order val="2"/>
            <c:forward val="0"/>
            <c:backward val="0"/>
            <c:dispRSqr val="1"/>
            <c:dispEq val="1"/>
          </c:trendline>
          <c:xVal>
            <c:numRef>
              <c:f>1</c:f>
              <c:numCache>
                <c:formatCode>General</c:formatCode>
                <c:ptCount val="9"/>
                <c:pt idx="0">
                  <c:v>0.111111111111111</c:v>
                </c:pt>
                <c:pt idx="1">
                  <c:v>0.166666666666667</c:v>
                </c:pt>
                <c:pt idx="2">
                  <c:v>0.2</c:v>
                </c:pt>
                <c:pt idx="3">
                  <c:v>0.25</c:v>
                </c:pt>
                <c:pt idx="4">
                  <c:v>0.27027027027027</c:v>
                </c:pt>
                <c:pt idx="5">
                  <c:v>0.277777777777778</c:v>
                </c:pt>
                <c:pt idx="6">
                  <c:v>0.285714285714286</c:v>
                </c:pt>
                <c:pt idx="7">
                  <c:v>0.166666666666667</c:v>
                </c:pt>
                <c:pt idx="8">
                  <c:v>0.142857142857143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9"/>
                <c:pt idx="0">
                  <c:v>11.1111111111111</c:v>
                </c:pt>
                <c:pt idx="1">
                  <c:v>33.3333333333333</c:v>
                </c:pt>
                <c:pt idx="2">
                  <c:v>60</c:v>
                </c:pt>
                <c:pt idx="3">
                  <c:v>100</c:v>
                </c:pt>
                <c:pt idx="4">
                  <c:v>135.135135135135</c:v>
                </c:pt>
                <c:pt idx="5">
                  <c:v>166.666666666667</c:v>
                </c:pt>
                <c:pt idx="6">
                  <c:v>200</c:v>
                </c:pt>
                <c:pt idx="7">
                  <c:v>25</c:v>
                </c:pt>
                <c:pt idx="8">
                  <c:v>17.1428571428571</c:v>
                </c:pt>
              </c:numCache>
            </c:numRef>
          </c:yVal>
          <c:smooth val="0"/>
        </c:ser>
        <c:axId val="30129933"/>
        <c:axId val="52703240"/>
      </c:scatterChart>
      <c:valAx>
        <c:axId val="30129933"/>
        <c:scaling>
          <c:orientation val="minMax"/>
        </c:scaling>
        <c:delete val="0"/>
        <c:axPos val="b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2703240"/>
        <c:crosses val="autoZero"/>
        <c:crossBetween val="midCat"/>
      </c:valAx>
      <c:valAx>
        <c:axId val="5270324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solidFill>
              <a:srgbClr val="bfbfbf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30129933"/>
        <c:crosses val="autoZero"/>
        <c:crossBetween val="midCat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A6D4C-D8FC-4B4C-8BC1-3669510D6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LibreOffice/6.0.6.2$Linux_X86_64 LibreOffice_project/00m0$Build-2</Application>
  <Pages>5</Pages>
  <Words>456</Words>
  <Characters>2945</Characters>
  <CharactersWithSpaces>3257</CharactersWithSpaces>
  <Paragraphs>163</Paragraphs>
  <Company>bsuir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2018-12-04T22:56:00Z</dcterms:created>
  <dc:creator>kafres</dc:creator>
  <dc:description/>
  <dc:language>en-US</dc:language>
  <cp:lastModifiedBy/>
  <cp:lastPrinted>2017-10-12T13:03:00Z</cp:lastPrinted>
  <dcterms:modified xsi:type="dcterms:W3CDTF">2018-12-10T02:24:32Z</dcterms:modified>
  <cp:revision>6</cp:revision>
  <dc:subject/>
  <dc:title>Министерство образования Республики Беларусь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bsuir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