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Amount</w:t>
      </w:r>
      <w:r>
        <w:t xml:space="preserve"> </w:t>
      </w:r>
      <w:r>
        <w:t xml:space="preserve">and</w:t>
      </w:r>
      <w:r>
        <w:t xml:space="preserve"> </w:t>
      </w:r>
      <w:r>
        <w:t xml:space="preserve">Fragmentation</w:t>
      </w:r>
      <w:r>
        <w:t xml:space="preserve"> </w:t>
      </w:r>
      <w:r>
        <w:t xml:space="preserve">Effects</w:t>
      </w:r>
      <w:r>
        <w:t xml:space="preserve"> </w:t>
      </w:r>
      <w:r>
        <w:t xml:space="preserve">on</w:t>
      </w:r>
      <w:r>
        <w:t xml:space="preserve"> </w:t>
      </w:r>
      <w:r>
        <w:t xml:space="preserve">Bird</w:t>
      </w:r>
      <w:r>
        <w:t xml:space="preserve"> </w:t>
      </w:r>
      <w:r>
        <w:t xml:space="preserve">Occupancy</w:t>
      </w:r>
    </w:p>
    <w:p>
      <w:pPr>
        <w:pStyle w:val="Author"/>
      </w:pPr>
      <w:r>
        <w:t xml:space="preserve">Your</w:t>
      </w:r>
      <w:r>
        <w:t xml:space="preserve"> </w:t>
      </w:r>
      <w:r>
        <w:t xml:space="preserve">Name</w:t>
      </w:r>
    </w:p>
    <w:p>
      <w:pPr>
        <w:pStyle w:val="Date"/>
      </w:pPr>
      <w:r>
        <w:t xml:space="preserve">2024-12-04</w:t>
      </w:r>
    </w:p>
    <w:bookmarkStart w:id="21" w:name="methods"/>
    <w:p>
      <w:pPr>
        <w:pStyle w:val="Heading2"/>
      </w:pPr>
      <w:r>
        <w:t xml:space="preserve">Methods</w:t>
      </w:r>
    </w:p>
    <w:bookmarkStart w:id="20" w:name="statistical-analysis"/>
    <w:p>
      <w:pPr>
        <w:pStyle w:val="Heading3"/>
      </w:pPr>
      <w:r>
        <w:t xml:space="preserve">Statistical Analysis</w:t>
      </w:r>
    </w:p>
    <w:p>
      <w:pPr>
        <w:pStyle w:val="FirstParagraph"/>
      </w:pPr>
      <w:r>
        <w:t xml:space="preserve">We used generalized linear mixed models (GLMMs) to analyze BTNW occupancy in relation to habitat amount and fragmentation. We constructed four candidate models with increasing complexity:</w:t>
      </w:r>
    </w:p>
    <w:p>
      <w:pPr>
        <w:pStyle w:val="Compact"/>
        <w:numPr>
          <w:ilvl w:val="0"/>
          <w:numId w:val="1001"/>
        </w:numPr>
      </w:pPr>
      <w:r>
        <w:t xml:space="preserve">Habitat amount only</w:t>
      </w:r>
    </w:p>
    <w:p>
      <w:pPr>
        <w:pStyle w:val="Compact"/>
        <w:numPr>
          <w:ilvl w:val="0"/>
          <w:numId w:val="1001"/>
        </w:numPr>
      </w:pPr>
      <w:r>
        <w:t xml:space="preserve">Fragmentation only (edge density)</w:t>
      </w:r>
    </w:p>
    <w:p>
      <w:pPr>
        <w:pStyle w:val="Compact"/>
        <w:numPr>
          <w:ilvl w:val="0"/>
          <w:numId w:val="1001"/>
        </w:numPr>
      </w:pPr>
      <w:r>
        <w:t xml:space="preserve">Additive effects of habitat amount and fragmentation</w:t>
      </w:r>
    </w:p>
    <w:p>
      <w:pPr>
        <w:pStyle w:val="Compact"/>
        <w:numPr>
          <w:ilvl w:val="0"/>
          <w:numId w:val="1001"/>
        </w:numPr>
      </w:pPr>
      <w:r>
        <w:t xml:space="preserve">Interactive effects of habitat amount and fragmentation</w:t>
      </w:r>
    </w:p>
    <w:p>
      <w:pPr>
        <w:pStyle w:val="FirstParagraph"/>
      </w:pPr>
      <w:r>
        <w:t xml:space="preserve">All models included:</w:t>
      </w:r>
      <w:r>
        <w:t xml:space="preserve"> </w:t>
      </w:r>
      <w:r>
        <w:t xml:space="preserve">- Offset term to account for detection probability</w:t>
      </w:r>
      <w:r>
        <w:t xml:space="preserve"> </w:t>
      </w:r>
      <w:r>
        <w:t xml:space="preserve">- Spatial autocorrelation term (specific to each model structure)</w:t>
      </w:r>
      <w:r>
        <w:t xml:space="preserve"> </w:t>
      </w:r>
      <w:r>
        <w:t xml:space="preserve">- Random effects for site and season nested within site</w:t>
      </w:r>
      <w:r>
        <w:t xml:space="preserve"> </w:t>
      </w:r>
      <w:r>
        <w:t xml:space="preserve">- All continuous predictors were standardized (mean = 0, SD = 1)</w:t>
      </w:r>
    </w:p>
    <w:p>
      <w:pPr>
        <w:pStyle w:val="BodyText"/>
      </w:pPr>
      <w:r>
        <w:t xml:space="preserve">We accounted for spatial autocorrelation by:</w:t>
      </w:r>
      <w:r>
        <w:t xml:space="preserve"> </w:t>
      </w:r>
      <w:r>
        <w:t xml:space="preserve">1. Fitting base models without spatial terms</w:t>
      </w:r>
      <w:r>
        <w:t xml:space="preserve"> </w:t>
      </w:r>
      <w:r>
        <w:t xml:space="preserve">2. Extracting residuals and fitting GAM models with spatial smoothing</w:t>
      </w:r>
      <w:r>
        <w:t xml:space="preserve"> </w:t>
      </w:r>
      <w:r>
        <w:t xml:space="preserve">3. Including the fitted values as spatial autocovariates in final models</w:t>
      </w:r>
    </w:p>
    <w:bookmarkEnd w:id="20"/>
    <w:bookmarkEnd w:id="21"/>
    <w:bookmarkStart w:id="35" w:name="results"/>
    <w:p>
      <w:pPr>
        <w:pStyle w:val="Heading2"/>
      </w:pPr>
      <w:r>
        <w:t xml:space="preserve">Results</w:t>
      </w:r>
    </w:p>
    <w:bookmarkStart w:id="22" w:name="model-selection"/>
    <w:p>
      <w:pPr>
        <w:pStyle w:val="Heading3"/>
      </w:pPr>
      <w:r>
        <w:t xml:space="preserve">Model Selection</w:t>
      </w:r>
    </w:p>
    <w:p>
      <w:pPr>
        <w:pStyle w:val="TableCaption"/>
      </w:pPr>
      <w:r>
        <w:t xml:space="preserve">Model selection results comparing habitat amount and fragmentation effects. Models ranked by AICc.</w:t>
      </w:r>
    </w:p>
    <w:tbl>
      <w:tblPr>
        <w:tblStyle w:val="Table"/>
        <w:tblW w:type="pct" w:w="5000"/>
        <w:tblLayout w:type="fixed"/>
        <w:tblLook w:firstRow="1" w:lastRow="0" w:firstColumn="0" w:lastColumn="0" w:noHBand="0" w:noVBand="0" w:val="0020"/>
        <w:tblCaption w:val="Model selection results comparing habitat amount and fragmentation effects. Models ranked by AICc."/>
      </w:tblPr>
      <w:tblGrid>
        <w:gridCol w:w="515"/>
        <w:gridCol w:w="562"/>
        <w:gridCol w:w="796"/>
        <w:gridCol w:w="796"/>
        <w:gridCol w:w="937"/>
        <w:gridCol w:w="1593"/>
        <w:gridCol w:w="609"/>
        <w:gridCol w:w="140"/>
        <w:gridCol w:w="468"/>
        <w:gridCol w:w="421"/>
        <w:gridCol w:w="468"/>
        <w:gridCol w:w="609"/>
      </w:tblGrid>
      <w:tr>
        <w:trPr>
          <w:tblHeader w:val="on"/>
        </w:trPr>
        <w:tc>
          <w:tcPr/>
          <w:p>
            <w:pPr>
              <w:pStyle w:val="Compact"/>
            </w:pPr>
          </w:p>
        </w:tc>
        <w:tc>
          <w:tcPr/>
          <w:p>
            <w:pPr>
              <w:pStyle w:val="Compact"/>
              <w:jc w:val="right"/>
            </w:pPr>
            <w:r>
              <w:t xml:space="preserve">(Intercept)</w:t>
            </w:r>
          </w:p>
        </w:tc>
        <w:tc>
          <w:tcPr/>
          <w:p>
            <w:pPr>
              <w:pStyle w:val="Compact"/>
              <w:jc w:val="right"/>
            </w:pPr>
            <w:r>
              <w:t xml:space="preserve">edge_density_std</w:t>
            </w:r>
          </w:p>
        </w:tc>
        <w:tc>
          <w:tcPr/>
          <w:p>
            <w:pPr>
              <w:pStyle w:val="Compact"/>
              <w:jc w:val="right"/>
            </w:pPr>
            <w:r>
              <w:t xml:space="preserve">prop_habitat_std</w:t>
            </w:r>
          </w:p>
        </w:tc>
        <w:tc>
          <w:tcPr/>
          <w:p>
            <w:pPr>
              <w:pStyle w:val="Compact"/>
              <w:jc w:val="right"/>
            </w:pPr>
            <w:r>
              <w:t xml:space="preserve">spatial_autocov_int</w:t>
            </w:r>
          </w:p>
        </w:tc>
        <w:tc>
          <w:tcPr/>
          <w:p>
            <w:pPr>
              <w:pStyle w:val="Compact"/>
              <w:jc w:val="right"/>
            </w:pPr>
            <w:r>
              <w:t xml:space="preserve">edge_density_std:prop_habitat_std</w:t>
            </w:r>
          </w:p>
        </w:tc>
        <w:tc>
          <w:tcPr/>
          <w:p>
            <w:pPr>
              <w:pStyle w:val="Compact"/>
              <w:jc w:val="left"/>
            </w:pPr>
            <w:r>
              <w:t xml:space="preserve">offset(qpad)</w:t>
            </w:r>
          </w:p>
        </w:tc>
        <w:tc>
          <w:tcPr/>
          <w:p>
            <w:pPr>
              <w:pStyle w:val="Compact"/>
              <w:jc w:val="right"/>
            </w:pPr>
            <w:r>
              <w:t xml:space="preserve">df</w:t>
            </w:r>
          </w:p>
        </w:tc>
        <w:tc>
          <w:tcPr/>
          <w:p>
            <w:pPr>
              <w:pStyle w:val="Compact"/>
              <w:jc w:val="right"/>
            </w:pPr>
            <w:r>
              <w:t xml:space="preserve">logLik</w:t>
            </w:r>
          </w:p>
        </w:tc>
        <w:tc>
          <w:tcPr/>
          <w:p>
            <w:pPr>
              <w:pStyle w:val="Compact"/>
              <w:jc w:val="right"/>
            </w:pPr>
            <w:r>
              <w:t xml:space="preserve">AICc</w:t>
            </w:r>
          </w:p>
        </w:tc>
        <w:tc>
          <w:tcPr/>
          <w:p>
            <w:pPr>
              <w:pStyle w:val="Compact"/>
              <w:jc w:val="right"/>
            </w:pPr>
            <w:r>
              <w:t xml:space="preserve">delta</w:t>
            </w:r>
          </w:p>
        </w:tc>
        <w:tc>
          <w:tcPr/>
          <w:p>
            <w:pPr>
              <w:pStyle w:val="Compact"/>
              <w:jc w:val="right"/>
            </w:pPr>
            <w:r>
              <w:t xml:space="preserve">weight</w:t>
            </w:r>
          </w:p>
        </w:tc>
      </w:tr>
      <w:tr>
        <w:tc>
          <w:tcPr/>
          <w:p>
            <w:pPr>
              <w:pStyle w:val="Compact"/>
              <w:jc w:val="left"/>
            </w:pPr>
            <w:r>
              <w:t xml:space="preserve">modC500int</w:t>
            </w:r>
          </w:p>
        </w:tc>
        <w:tc>
          <w:tcPr/>
          <w:p>
            <w:pPr>
              <w:pStyle w:val="Compact"/>
              <w:jc w:val="right"/>
            </w:pPr>
            <w:r>
              <w:t xml:space="preserve">-4.640875</w:t>
            </w:r>
          </w:p>
        </w:tc>
        <w:tc>
          <w:tcPr/>
          <w:p>
            <w:pPr>
              <w:pStyle w:val="Compact"/>
              <w:jc w:val="right"/>
            </w:pPr>
            <w:r>
              <w:t xml:space="preserve">-1.5420056</w:t>
            </w:r>
          </w:p>
        </w:tc>
        <w:tc>
          <w:tcPr/>
          <w:p>
            <w:pPr>
              <w:pStyle w:val="Compact"/>
              <w:jc w:val="right"/>
            </w:pPr>
            <w:r>
              <w:t xml:space="preserve">0.1835250</w:t>
            </w:r>
          </w:p>
        </w:tc>
        <w:tc>
          <w:tcPr/>
          <w:p>
            <w:pPr>
              <w:pStyle w:val="Compact"/>
              <w:jc w:val="right"/>
            </w:pPr>
            <w:r>
              <w:t xml:space="preserve">1.570010</w:t>
            </w:r>
          </w:p>
        </w:tc>
        <w:tc>
          <w:tcPr/>
          <w:p>
            <w:pPr>
              <w:pStyle w:val="Compact"/>
              <w:jc w:val="right"/>
            </w:pPr>
            <w:r>
              <w:t xml:space="preserve">-0.4116918</w:t>
            </w:r>
          </w:p>
        </w:tc>
        <w:tc>
          <w:tcPr/>
          <w:p>
            <w:pPr>
              <w:pStyle w:val="Compact"/>
              <w:jc w:val="left"/>
            </w:pPr>
            <w:r>
              <w:t xml:space="preserve">+</w:t>
            </w:r>
          </w:p>
        </w:tc>
        <w:tc>
          <w:tcPr/>
          <w:p>
            <w:pPr>
              <w:pStyle w:val="Compact"/>
              <w:jc w:val="right"/>
            </w:pPr>
            <w:r>
              <w:t xml:space="preserve">8</w:t>
            </w:r>
          </w:p>
        </w:tc>
        <w:tc>
          <w:tcPr/>
          <w:p>
            <w:pPr>
              <w:pStyle w:val="Compact"/>
              <w:jc w:val="right"/>
            </w:pPr>
            <w:r>
              <w:t xml:space="preserve">-844.0540</w:t>
            </w:r>
          </w:p>
        </w:tc>
        <w:tc>
          <w:tcPr/>
          <w:p>
            <w:pPr>
              <w:pStyle w:val="Compact"/>
              <w:jc w:val="right"/>
            </w:pPr>
            <w:r>
              <w:t xml:space="preserve">1704.156</w:t>
            </w:r>
          </w:p>
        </w:tc>
        <w:tc>
          <w:tcPr/>
          <w:p>
            <w:pPr>
              <w:pStyle w:val="Compact"/>
              <w:jc w:val="right"/>
            </w:pPr>
            <w:r>
              <w:t xml:space="preserve">0.000000</w:t>
            </w:r>
          </w:p>
        </w:tc>
        <w:tc>
          <w:tcPr/>
          <w:p>
            <w:pPr>
              <w:pStyle w:val="Compact"/>
              <w:jc w:val="right"/>
            </w:pPr>
            <w:r>
              <w:t xml:space="preserve">8.256173e-01</w:t>
            </w:r>
          </w:p>
        </w:tc>
      </w:tr>
      <w:tr>
        <w:tc>
          <w:tcPr/>
          <w:p>
            <w:pPr>
              <w:pStyle w:val="Compact"/>
              <w:jc w:val="left"/>
            </w:pPr>
            <w:r>
              <w:t xml:space="preserve">modC500_AF</w:t>
            </w:r>
          </w:p>
        </w:tc>
        <w:tc>
          <w:tcPr/>
          <w:p>
            <w:pPr>
              <w:pStyle w:val="Compact"/>
              <w:jc w:val="right"/>
            </w:pPr>
            <w:r>
              <w:t xml:space="preserve">-4.451884</w:t>
            </w:r>
          </w:p>
        </w:tc>
        <w:tc>
          <w:tcPr/>
          <w:p>
            <w:pPr>
              <w:pStyle w:val="Compact"/>
              <w:jc w:val="right"/>
            </w:pPr>
            <w:r>
              <w:t xml:space="preserve">-0.9990734</w:t>
            </w:r>
          </w:p>
        </w:tc>
        <w:tc>
          <w:tcPr/>
          <w:p>
            <w:pPr>
              <w:pStyle w:val="Compact"/>
              <w:jc w:val="right"/>
            </w:pPr>
            <w:r>
              <w:t xml:space="preserve">0.4877989</w:t>
            </w:r>
          </w:p>
        </w:tc>
        <w:tc>
          <w:tcPr/>
          <w:p>
            <w:pPr>
              <w:pStyle w:val="Compact"/>
              <w:jc w:val="right"/>
            </w:pPr>
            <w:r>
              <w:t xml:space="preserve">1.761621</w:t>
            </w:r>
          </w:p>
        </w:tc>
        <w:tc>
          <w:tcPr/>
          <w:p>
            <w:pPr>
              <w:pStyle w:val="Compact"/>
              <w:jc w:val="right"/>
            </w:pPr>
            <w:r>
              <w:t xml:space="preserve">NA</w:t>
            </w:r>
          </w:p>
        </w:tc>
        <w:tc>
          <w:tcPr/>
          <w:p>
            <w:pPr>
              <w:pStyle w:val="Compact"/>
              <w:jc w:val="left"/>
            </w:pPr>
            <w:r>
              <w:t xml:space="preserve">+</w:t>
            </w:r>
          </w:p>
        </w:tc>
        <w:tc>
          <w:tcPr/>
          <w:p>
            <w:pPr>
              <w:pStyle w:val="Compact"/>
              <w:jc w:val="right"/>
            </w:pPr>
            <w:r>
              <w:t xml:space="preserve">7</w:t>
            </w:r>
          </w:p>
        </w:tc>
        <w:tc>
          <w:tcPr/>
          <w:p>
            <w:pPr>
              <w:pStyle w:val="Compact"/>
              <w:jc w:val="right"/>
            </w:pPr>
            <w:r>
              <w:t xml:space="preserve">-846.6443</w:t>
            </w:r>
          </w:p>
        </w:tc>
        <w:tc>
          <w:tcPr/>
          <w:p>
            <w:pPr>
              <w:pStyle w:val="Compact"/>
              <w:jc w:val="right"/>
            </w:pPr>
            <w:r>
              <w:t xml:space="preserve">1707.325</w:t>
            </w:r>
          </w:p>
        </w:tc>
        <w:tc>
          <w:tcPr/>
          <w:p>
            <w:pPr>
              <w:pStyle w:val="Compact"/>
              <w:jc w:val="right"/>
            </w:pPr>
            <w:r>
              <w:t xml:space="preserve">3.169935</w:t>
            </w:r>
          </w:p>
        </w:tc>
        <w:tc>
          <w:tcPr/>
          <w:p>
            <w:pPr>
              <w:pStyle w:val="Compact"/>
              <w:jc w:val="right"/>
            </w:pPr>
            <w:r>
              <w:t xml:space="preserve">1.692139e-01</w:t>
            </w:r>
          </w:p>
        </w:tc>
      </w:tr>
      <w:tr>
        <w:tc>
          <w:tcPr/>
          <w:p>
            <w:pPr>
              <w:pStyle w:val="Compact"/>
              <w:jc w:val="left"/>
            </w:pPr>
            <w:r>
              <w:t xml:space="preserve">modC500_F</w:t>
            </w:r>
          </w:p>
        </w:tc>
        <w:tc>
          <w:tcPr/>
          <w:p>
            <w:pPr>
              <w:pStyle w:val="Compact"/>
              <w:jc w:val="right"/>
            </w:pPr>
            <w:r>
              <w:t xml:space="preserve">-4.514386</w:t>
            </w:r>
          </w:p>
        </w:tc>
        <w:tc>
          <w:tcPr/>
          <w:p>
            <w:pPr>
              <w:pStyle w:val="Compact"/>
              <w:jc w:val="right"/>
            </w:pPr>
            <w:r>
              <w:t xml:space="preserve">-1.4098906</w:t>
            </w:r>
          </w:p>
        </w:tc>
        <w:tc>
          <w:tcPr/>
          <w:p>
            <w:pPr>
              <w:pStyle w:val="Compact"/>
              <w:jc w:val="right"/>
            </w:pPr>
            <w:r>
              <w:t xml:space="preserve">NA</w:t>
            </w:r>
          </w:p>
        </w:tc>
        <w:tc>
          <w:tcPr/>
          <w:p>
            <w:pPr>
              <w:pStyle w:val="Compact"/>
              <w:jc w:val="right"/>
            </w:pPr>
            <w:r>
              <w:t xml:space="preserve">1.911378</w:t>
            </w:r>
          </w:p>
        </w:tc>
        <w:tc>
          <w:tcPr/>
          <w:p>
            <w:pPr>
              <w:pStyle w:val="Compact"/>
              <w:jc w:val="right"/>
            </w:pPr>
            <w:r>
              <w:t xml:space="preserve">NA</w:t>
            </w:r>
          </w:p>
        </w:tc>
        <w:tc>
          <w:tcPr/>
          <w:p>
            <w:pPr>
              <w:pStyle w:val="Compact"/>
              <w:jc w:val="left"/>
            </w:pPr>
            <w:r>
              <w:t xml:space="preserve">+</w:t>
            </w:r>
          </w:p>
        </w:tc>
        <w:tc>
          <w:tcPr/>
          <w:p>
            <w:pPr>
              <w:pStyle w:val="Compact"/>
              <w:jc w:val="right"/>
            </w:pPr>
            <w:r>
              <w:t xml:space="preserve">6</w:t>
            </w:r>
          </w:p>
        </w:tc>
        <w:tc>
          <w:tcPr/>
          <w:p>
            <w:pPr>
              <w:pStyle w:val="Compact"/>
              <w:jc w:val="right"/>
            </w:pPr>
            <w:r>
              <w:t xml:space="preserve">-851.1410</w:t>
            </w:r>
          </w:p>
        </w:tc>
        <w:tc>
          <w:tcPr/>
          <w:p>
            <w:pPr>
              <w:pStyle w:val="Compact"/>
              <w:jc w:val="right"/>
            </w:pPr>
            <w:r>
              <w:t xml:space="preserve">1714.310</w:t>
            </w:r>
          </w:p>
        </w:tc>
        <w:tc>
          <w:tcPr/>
          <w:p>
            <w:pPr>
              <w:pStyle w:val="Compact"/>
              <w:jc w:val="right"/>
            </w:pPr>
            <w:r>
              <w:t xml:space="preserve">10.154073</w:t>
            </w:r>
          </w:p>
        </w:tc>
        <w:tc>
          <w:tcPr/>
          <w:p>
            <w:pPr>
              <w:pStyle w:val="Compact"/>
              <w:jc w:val="right"/>
            </w:pPr>
            <w:r>
              <w:t xml:space="preserve">5.150504e-03</w:t>
            </w:r>
          </w:p>
        </w:tc>
      </w:tr>
      <w:tr>
        <w:tc>
          <w:tcPr/>
          <w:p>
            <w:pPr>
              <w:pStyle w:val="Compact"/>
              <w:jc w:val="left"/>
            </w:pPr>
            <w:r>
              <w:t xml:space="preserve">modC500_A</w:t>
            </w:r>
          </w:p>
        </w:tc>
        <w:tc>
          <w:tcPr/>
          <w:p>
            <w:pPr>
              <w:pStyle w:val="Compact"/>
              <w:jc w:val="right"/>
            </w:pPr>
            <w:r>
              <w:t xml:space="preserve">-4.294203</w:t>
            </w:r>
          </w:p>
        </w:tc>
        <w:tc>
          <w:tcPr/>
          <w:p>
            <w:pPr>
              <w:pStyle w:val="Compact"/>
              <w:jc w:val="right"/>
            </w:pPr>
            <w:r>
              <w:t xml:space="preserve">NA</w:t>
            </w:r>
          </w:p>
        </w:tc>
        <w:tc>
          <w:tcPr/>
          <w:p>
            <w:pPr>
              <w:pStyle w:val="Compact"/>
              <w:jc w:val="right"/>
            </w:pPr>
            <w:r>
              <w:t xml:space="preserve">1.0172070</w:t>
            </w:r>
          </w:p>
        </w:tc>
        <w:tc>
          <w:tcPr/>
          <w:p>
            <w:pPr>
              <w:pStyle w:val="Compact"/>
              <w:jc w:val="right"/>
            </w:pPr>
            <w:r>
              <w:t xml:space="preserve">1.435417</w:t>
            </w:r>
          </w:p>
        </w:tc>
        <w:tc>
          <w:tcPr/>
          <w:p>
            <w:pPr>
              <w:pStyle w:val="Compact"/>
              <w:jc w:val="right"/>
            </w:pPr>
            <w:r>
              <w:t xml:space="preserve">NA</w:t>
            </w:r>
          </w:p>
        </w:tc>
        <w:tc>
          <w:tcPr/>
          <w:p>
            <w:pPr>
              <w:pStyle w:val="Compact"/>
              <w:jc w:val="left"/>
            </w:pPr>
            <w:r>
              <w:t xml:space="preserve">+</w:t>
            </w:r>
          </w:p>
        </w:tc>
        <w:tc>
          <w:tcPr/>
          <w:p>
            <w:pPr>
              <w:pStyle w:val="Compact"/>
              <w:jc w:val="right"/>
            </w:pPr>
            <w:r>
              <w:t xml:space="preserve">6</w:t>
            </w:r>
          </w:p>
        </w:tc>
        <w:tc>
          <w:tcPr/>
          <w:p>
            <w:pPr>
              <w:pStyle w:val="Compact"/>
              <w:jc w:val="right"/>
            </w:pPr>
            <w:r>
              <w:t xml:space="preserve">-856.7790</w:t>
            </w:r>
          </w:p>
        </w:tc>
        <w:tc>
          <w:tcPr/>
          <w:p>
            <w:pPr>
              <w:pStyle w:val="Compact"/>
              <w:jc w:val="right"/>
            </w:pPr>
            <w:r>
              <w:t xml:space="preserve">1725.586</w:t>
            </w:r>
          </w:p>
        </w:tc>
        <w:tc>
          <w:tcPr/>
          <w:p>
            <w:pPr>
              <w:pStyle w:val="Compact"/>
              <w:jc w:val="right"/>
            </w:pPr>
            <w:r>
              <w:t xml:space="preserve">21.430127</w:t>
            </w:r>
          </w:p>
        </w:tc>
        <w:tc>
          <w:tcPr/>
          <w:p>
            <w:pPr>
              <w:pStyle w:val="Compact"/>
              <w:jc w:val="right"/>
            </w:pPr>
            <w:r>
              <w:t xml:space="preserve">1.833521e-05</w:t>
            </w:r>
          </w:p>
        </w:tc>
      </w:tr>
    </w:tbl>
    <w:bookmarkEnd w:id="22"/>
    <w:bookmarkStart w:id="26" w:name="interaction-effects"/>
    <w:p>
      <w:pPr>
        <w:pStyle w:val="Heading3"/>
      </w:pPr>
      <w:r>
        <w:t xml:space="preserve">Interaction Effects</w:t>
      </w:r>
    </w:p>
    <w:p>
      <w:pPr>
        <w:pStyle w:val="FirstParagraph"/>
      </w:pPr>
      <w:r>
        <w:drawing>
          <wp:inline>
            <wp:extent cx="5334000" cy="3809999"/>
            <wp:effectExtent b="0" l="0" r="0" t="0"/>
            <wp:docPr descr="" title="" id="24" name="Picture"/>
            <a:graphic>
              <a:graphicData uri="http://schemas.openxmlformats.org/drawingml/2006/picture">
                <pic:pic>
                  <pic:nvPicPr>
                    <pic:cNvPr descr="Results_files/figure-docx/unnamed-chunk-2-1.png" id="25" name="Picture"/>
                    <pic:cNvPicPr>
                      <a:picLocks noChangeArrowheads="1" noChangeAspect="1"/>
                    </pic:cNvPicPr>
                  </pic:nvPicPr>
                  <pic:blipFill>
                    <a:blip r:embed="rId2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relationship between habitat amount and occupancy [varies/does not vary] with the level of fragmentation, as indicated by the significant interaction term (β = -0.412, SE = 0.181, p = 0.023).</w:t>
      </w:r>
    </w:p>
    <w:bookmarkEnd w:id="26"/>
    <w:bookmarkStart w:id="30" w:name="model-coefficients"/>
    <w:p>
      <w:pPr>
        <w:pStyle w:val="Heading3"/>
      </w:pPr>
      <w:r>
        <w:t xml:space="preserve">Model Coefficients</w:t>
      </w:r>
    </w:p>
    <w:p>
      <w:pPr>
        <w:pStyle w:val="FirstParagraph"/>
      </w:pPr>
      <w:r>
        <w:drawing>
          <wp:inline>
            <wp:extent cx="5334000" cy="4000500"/>
            <wp:effectExtent b="0" l="0" r="0" t="0"/>
            <wp:docPr descr="" title="" id="28" name="Picture"/>
            <a:graphic>
              <a:graphicData uri="http://schemas.openxmlformats.org/drawingml/2006/picture">
                <pic:pic>
                  <pic:nvPicPr>
                    <pic:cNvPr descr="Results_files/figure-docx/unnamed-chunk-3-1.pn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bookmarkEnd w:id="30"/>
    <w:bookmarkStart w:id="34" w:name="variance-partitioning"/>
    <w:p>
      <w:pPr>
        <w:pStyle w:val="Heading3"/>
      </w:pPr>
      <w:r>
        <w:t xml:space="preserve">Variance Partitioning</w:t>
      </w:r>
    </w:p>
    <w:p>
      <w:pPr>
        <w:pStyle w:val="FirstParagraph"/>
      </w:pPr>
      <w:r>
        <w:drawing>
          <wp:inline>
            <wp:extent cx="5334000" cy="3556000"/>
            <wp:effectExtent b="0" l="0" r="0" t="0"/>
            <wp:docPr descr="" title="" id="32" name="Picture"/>
            <a:graphic>
              <a:graphicData uri="http://schemas.openxmlformats.org/drawingml/2006/picture">
                <pic:pic>
                  <pic:nvPicPr>
                    <pic:cNvPr descr="Results_files/figure-docx/unnamed-chunk-4-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proportion of variance explained by fixed effects (marginal R²) was XX, while the total variance explained including random effects (conditional R²) was XX.</w:t>
      </w:r>
    </w:p>
    <w:p>
      <w:pPr>
        <w:pStyle w:val="TableCaption"/>
      </w:pPr>
      <w:r>
        <w:t xml:space="preserve">Marginal (R2_m) and conditional (R2_c) R2 values for each model</w:t>
      </w:r>
    </w:p>
    <w:tbl>
      <w:tblPr>
        <w:tblStyle w:val="Table"/>
        <w:tblW w:type="auto" w:w="0"/>
        <w:tblLook w:firstRow="1" w:lastRow="0" w:firstColumn="0" w:lastColumn="0" w:noHBand="0" w:noVBand="0" w:val="0020"/>
        <w:tblCaption w:val="Marginal (R2_m) and conditional (R2_c) R2 values for each model"/>
      </w:tblPr>
      <w:tblGrid>
        <w:gridCol w:w="2640"/>
        <w:gridCol w:w="2640"/>
        <w:gridCol w:w="2640"/>
      </w:tblGrid>
      <w:tr>
        <w:trPr>
          <w:tblHeader w:val="on"/>
        </w:trPr>
        <w:tc>
          <w:tcPr/>
          <w:p>
            <w:pPr>
              <w:pStyle w:val="Compact"/>
              <w:jc w:val="left"/>
            </w:pPr>
            <w:r>
              <w:t xml:space="preserve">Model</w:t>
            </w:r>
          </w:p>
        </w:tc>
        <w:tc>
          <w:tcPr/>
          <w:p>
            <w:pPr>
              <w:pStyle w:val="Compact"/>
              <w:jc w:val="right"/>
            </w:pPr>
            <w:r>
              <w:t xml:space="preserve">R2_m</w:t>
            </w:r>
          </w:p>
        </w:tc>
        <w:tc>
          <w:tcPr/>
          <w:p>
            <w:pPr>
              <w:pStyle w:val="Compact"/>
              <w:jc w:val="right"/>
            </w:pPr>
            <w:r>
              <w:t xml:space="preserve">R2_c</w:t>
            </w:r>
          </w:p>
        </w:tc>
      </w:tr>
      <w:tr>
        <w:tc>
          <w:tcPr/>
          <w:p>
            <w:pPr>
              <w:pStyle w:val="Compact"/>
              <w:jc w:val="left"/>
            </w:pPr>
            <w:r>
              <w:t xml:space="preserve">Interactive</w:t>
            </w:r>
          </w:p>
        </w:tc>
        <w:tc>
          <w:tcPr/>
          <w:p>
            <w:pPr>
              <w:pStyle w:val="Compact"/>
              <w:jc w:val="right"/>
            </w:pPr>
            <w:r>
              <w:t xml:space="preserve">0.4019207</w:t>
            </w:r>
          </w:p>
        </w:tc>
        <w:tc>
          <w:tcPr/>
          <w:p>
            <w:pPr>
              <w:pStyle w:val="Compact"/>
              <w:jc w:val="right"/>
            </w:pPr>
            <w:r>
              <w:t xml:space="preserve">0.2443080</w:t>
            </w:r>
          </w:p>
        </w:tc>
      </w:tr>
      <w:tr>
        <w:tc>
          <w:tcPr/>
          <w:p>
            <w:pPr>
              <w:pStyle w:val="Compact"/>
              <w:jc w:val="left"/>
            </w:pPr>
            <w:r>
              <w:t xml:space="preserve">Amount Only</w:t>
            </w:r>
          </w:p>
        </w:tc>
        <w:tc>
          <w:tcPr/>
          <w:p>
            <w:pPr>
              <w:pStyle w:val="Compact"/>
              <w:jc w:val="right"/>
            </w:pPr>
            <w:r>
              <w:t xml:space="preserve">0.3206866</w:t>
            </w:r>
          </w:p>
        </w:tc>
        <w:tc>
          <w:tcPr/>
          <w:p>
            <w:pPr>
              <w:pStyle w:val="Compact"/>
              <w:jc w:val="right"/>
            </w:pPr>
            <w:r>
              <w:t xml:space="preserve">0.1893488</w:t>
            </w:r>
          </w:p>
        </w:tc>
      </w:tr>
      <w:tr>
        <w:tc>
          <w:tcPr/>
          <w:p>
            <w:pPr>
              <w:pStyle w:val="Compact"/>
              <w:jc w:val="left"/>
            </w:pPr>
            <w:r>
              <w:t xml:space="preserve">Fragmentation Only</w:t>
            </w:r>
          </w:p>
        </w:tc>
        <w:tc>
          <w:tcPr/>
          <w:p>
            <w:pPr>
              <w:pStyle w:val="Compact"/>
              <w:jc w:val="right"/>
            </w:pPr>
            <w:r>
              <w:t xml:space="preserve">0.4600117</w:t>
            </w:r>
          </w:p>
        </w:tc>
        <w:tc>
          <w:tcPr/>
          <w:p>
            <w:pPr>
              <w:pStyle w:val="Compact"/>
              <w:jc w:val="right"/>
            </w:pPr>
            <w:r>
              <w:t xml:space="preserve">0.2930767</w:t>
            </w:r>
          </w:p>
        </w:tc>
      </w:tr>
      <w:tr>
        <w:tc>
          <w:tcPr/>
          <w:p>
            <w:pPr>
              <w:pStyle w:val="Compact"/>
              <w:jc w:val="left"/>
            </w:pPr>
            <w:r>
              <w:t xml:space="preserve">Additive</w:t>
            </w:r>
          </w:p>
        </w:tc>
        <w:tc>
          <w:tcPr/>
          <w:p>
            <w:pPr>
              <w:pStyle w:val="Compact"/>
              <w:jc w:val="right"/>
            </w:pPr>
            <w:r>
              <w:t xml:space="preserve">0.4370156</w:t>
            </w:r>
          </w:p>
        </w:tc>
        <w:tc>
          <w:tcPr/>
          <w:p>
            <w:pPr>
              <w:pStyle w:val="Compact"/>
              <w:jc w:val="right"/>
            </w:pPr>
            <w:r>
              <w:t xml:space="preserve">0.2721777</w:t>
            </w:r>
          </w:p>
        </w:tc>
      </w:tr>
    </w:tbl>
    <w:p>
      <w:pPr>
        <w:pStyle w:val="BodyText"/>
      </w:pPr>
      <w:r>
        <w:t xml:space="preserve">Table 1. Model selection results comparing the effects of habitat amount, edge density, and their interaction on Black-throated Green Warbler occupancy across three spatial scales (150m, 500m, 1000m) and three fragmentation measurement methods (A, B, C). Models are ranked by AIC values. Model types include interaction models (INT) with habitat amount × edge density, and additive models (AF) with habitat amount + edge density. All models included a spatial autocovariate term and random effects for site, season, and year. Delta R²m shows variance explained by fixed effects; delta R²c shows total variance explained including random effects.</w:t>
      </w:r>
    </w:p>
    <w:p>
      <w:pPr>
        <w:pStyle w:val="TableCaption"/>
      </w:pPr>
      <w:r>
        <w:t xml:space="preserve">Table 1: Model Selection Results Across Methods and Scales (sorted by AIC)</w:t>
      </w:r>
    </w:p>
    <w:tbl>
      <w:tblPr>
        <w:tblStyle w:val="Table"/>
        <w:tblW w:type="auto" w:w="0"/>
        <w:tblLook w:firstRow="1" w:lastRow="0" w:firstColumn="0" w:lastColumn="0" w:noHBand="0" w:noVBand="0" w:val="0020"/>
        <w:tblCaption w:val="Table 1: Model Selection Results Across Methods and Scales (sorted by AIC)"/>
      </w:tblPr>
      <w:tblGrid>
        <w:gridCol w:w="990"/>
        <w:gridCol w:w="990"/>
        <w:gridCol w:w="990"/>
        <w:gridCol w:w="990"/>
        <w:gridCol w:w="990"/>
        <w:gridCol w:w="990"/>
        <w:gridCol w:w="990"/>
        <w:gridCol w:w="990"/>
      </w:tblGrid>
      <w:tr>
        <w:trPr>
          <w:tblHeader w:val="on"/>
        </w:trPr>
        <w:tc>
          <w:tcPr/>
          <w:p>
            <w:pPr>
              <w:pStyle w:val="Compact"/>
              <w:jc w:val="left"/>
            </w:pPr>
            <w:r>
              <w:t xml:space="preserve">Scale</w:t>
            </w:r>
          </w:p>
        </w:tc>
        <w:tc>
          <w:tcPr/>
          <w:p>
            <w:pPr>
              <w:pStyle w:val="Compact"/>
              <w:jc w:val="left"/>
            </w:pPr>
            <w:r>
              <w:t xml:space="preserve">Method</w:t>
            </w:r>
          </w:p>
        </w:tc>
        <w:tc>
          <w:tcPr/>
          <w:p>
            <w:pPr>
              <w:pStyle w:val="Compact"/>
              <w:jc w:val="left"/>
            </w:pPr>
            <w:r>
              <w:t xml:space="preserve">Model</w:t>
            </w:r>
          </w:p>
        </w:tc>
        <w:tc>
          <w:tcPr/>
          <w:p>
            <w:pPr>
              <w:pStyle w:val="Compact"/>
              <w:jc w:val="right"/>
            </w:pPr>
            <w:r>
              <w:t xml:space="preserve">AIC</w:t>
            </w:r>
          </w:p>
        </w:tc>
        <w:tc>
          <w:tcPr/>
          <w:p>
            <w:pPr>
              <w:pStyle w:val="Compact"/>
              <w:jc w:val="right"/>
            </w:pPr>
            <w:r>
              <w:t xml:space="preserve">ΔAIC</w:t>
            </w:r>
          </w:p>
        </w:tc>
        <w:tc>
          <w:tcPr/>
          <w:p>
            <w:pPr>
              <w:pStyle w:val="Compact"/>
              <w:jc w:val="right"/>
            </w:pPr>
            <w:r>
              <w:t xml:space="preserve">Weight</w:t>
            </w:r>
          </w:p>
        </w:tc>
        <w:tc>
          <w:tcPr/>
          <w:p>
            <w:pPr>
              <w:pStyle w:val="Compact"/>
              <w:jc w:val="right"/>
            </w:pPr>
            <w:r>
              <w:t xml:space="preserve">delta R²m</w:t>
            </w:r>
          </w:p>
        </w:tc>
        <w:tc>
          <w:tcPr/>
          <w:p>
            <w:pPr>
              <w:pStyle w:val="Compact"/>
              <w:jc w:val="right"/>
            </w:pPr>
            <w:r>
              <w:t xml:space="preserve">delta R²c</w:t>
            </w:r>
          </w:p>
        </w:tc>
      </w:tr>
      <w:tr>
        <w:tc>
          <w:tcPr/>
          <w:p>
            <w:pPr>
              <w:pStyle w:val="Compact"/>
              <w:jc w:val="left"/>
            </w:pPr>
            <w:r>
              <w:t xml:space="preserve">500m</w:t>
            </w:r>
          </w:p>
        </w:tc>
        <w:tc>
          <w:tcPr/>
          <w:p>
            <w:pPr>
              <w:pStyle w:val="Compact"/>
              <w:jc w:val="left"/>
            </w:pPr>
            <w:r>
              <w:t xml:space="preserve">C</w:t>
            </w:r>
          </w:p>
        </w:tc>
        <w:tc>
          <w:tcPr/>
          <w:p>
            <w:pPr>
              <w:pStyle w:val="Compact"/>
              <w:jc w:val="left"/>
            </w:pPr>
            <w:r>
              <w:t xml:space="preserve">INT</w:t>
            </w:r>
          </w:p>
        </w:tc>
        <w:tc>
          <w:tcPr/>
          <w:p>
            <w:pPr>
              <w:pStyle w:val="Compact"/>
              <w:jc w:val="right"/>
            </w:pPr>
            <w:r>
              <w:t xml:space="preserve">1704.2</w:t>
            </w:r>
          </w:p>
        </w:tc>
        <w:tc>
          <w:tcPr/>
          <w:p>
            <w:pPr>
              <w:pStyle w:val="Compact"/>
              <w:jc w:val="right"/>
            </w:pPr>
            <w:r>
              <w:t xml:space="preserve">0.0</w:t>
            </w:r>
          </w:p>
        </w:tc>
        <w:tc>
          <w:tcPr/>
          <w:p>
            <w:pPr>
              <w:pStyle w:val="Compact"/>
              <w:jc w:val="right"/>
            </w:pPr>
            <w:r>
              <w:t xml:space="preserve">0.826</w:t>
            </w:r>
          </w:p>
        </w:tc>
        <w:tc>
          <w:tcPr/>
          <w:p>
            <w:pPr>
              <w:pStyle w:val="Compact"/>
              <w:jc w:val="right"/>
            </w:pPr>
            <w:r>
              <w:t xml:space="preserve">0.244</w:t>
            </w:r>
          </w:p>
        </w:tc>
        <w:tc>
          <w:tcPr/>
          <w:p>
            <w:pPr>
              <w:pStyle w:val="Compact"/>
              <w:jc w:val="right"/>
            </w:pPr>
            <w:r>
              <w:t xml:space="preserve">0.424</w:t>
            </w:r>
          </w:p>
        </w:tc>
      </w:tr>
      <w:tr>
        <w:tc>
          <w:tcPr/>
          <w:p>
            <w:pPr>
              <w:pStyle w:val="Compact"/>
              <w:jc w:val="left"/>
            </w:pPr>
            <w:r>
              <w:t xml:space="preserve">150m</w:t>
            </w:r>
          </w:p>
        </w:tc>
        <w:tc>
          <w:tcPr/>
          <w:p>
            <w:pPr>
              <w:pStyle w:val="Compact"/>
              <w:jc w:val="left"/>
            </w:pPr>
            <w:r>
              <w:t xml:space="preserve">C</w:t>
            </w:r>
          </w:p>
        </w:tc>
        <w:tc>
          <w:tcPr/>
          <w:p>
            <w:pPr>
              <w:pStyle w:val="Compact"/>
              <w:jc w:val="left"/>
            </w:pPr>
            <w:r>
              <w:t xml:space="preserve">INT</w:t>
            </w:r>
          </w:p>
        </w:tc>
        <w:tc>
          <w:tcPr/>
          <w:p>
            <w:pPr>
              <w:pStyle w:val="Compact"/>
              <w:jc w:val="right"/>
            </w:pPr>
            <w:r>
              <w:t xml:space="preserve">1711.4</w:t>
            </w:r>
          </w:p>
        </w:tc>
        <w:tc>
          <w:tcPr/>
          <w:p>
            <w:pPr>
              <w:pStyle w:val="Compact"/>
              <w:jc w:val="right"/>
            </w:pPr>
            <w:r>
              <w:t xml:space="preserve">7.2</w:t>
            </w:r>
          </w:p>
        </w:tc>
        <w:tc>
          <w:tcPr/>
          <w:p>
            <w:pPr>
              <w:pStyle w:val="Compact"/>
              <w:jc w:val="right"/>
            </w:pPr>
            <w:r>
              <w:t xml:space="preserve">0.996</w:t>
            </w:r>
          </w:p>
        </w:tc>
        <w:tc>
          <w:tcPr/>
          <w:p>
            <w:pPr>
              <w:pStyle w:val="Compact"/>
              <w:jc w:val="right"/>
            </w:pPr>
            <w:r>
              <w:t xml:space="preserve">0.210</w:t>
            </w:r>
          </w:p>
        </w:tc>
        <w:tc>
          <w:tcPr/>
          <w:p>
            <w:pPr>
              <w:pStyle w:val="Compact"/>
              <w:jc w:val="right"/>
            </w:pPr>
            <w:r>
              <w:t xml:space="preserve">0.399</w:t>
            </w:r>
          </w:p>
        </w:tc>
      </w:tr>
      <w:tr>
        <w:tc>
          <w:tcPr/>
          <w:p>
            <w:pPr>
              <w:pStyle w:val="Compact"/>
              <w:jc w:val="left"/>
            </w:pPr>
            <w:r>
              <w:t xml:space="preserve">1000m</w:t>
            </w:r>
          </w:p>
        </w:tc>
        <w:tc>
          <w:tcPr/>
          <w:p>
            <w:pPr>
              <w:pStyle w:val="Compact"/>
              <w:jc w:val="left"/>
            </w:pPr>
            <w:r>
              <w:t xml:space="preserve">C</w:t>
            </w:r>
          </w:p>
        </w:tc>
        <w:tc>
          <w:tcPr/>
          <w:p>
            <w:pPr>
              <w:pStyle w:val="Compact"/>
              <w:jc w:val="left"/>
            </w:pPr>
            <w:r>
              <w:t xml:space="preserve">AF</w:t>
            </w:r>
          </w:p>
        </w:tc>
        <w:tc>
          <w:tcPr/>
          <w:p>
            <w:pPr>
              <w:pStyle w:val="Compact"/>
              <w:jc w:val="right"/>
            </w:pPr>
            <w:r>
              <w:t xml:space="preserve">1715.7</w:t>
            </w:r>
          </w:p>
        </w:tc>
        <w:tc>
          <w:tcPr/>
          <w:p>
            <w:pPr>
              <w:pStyle w:val="Compact"/>
              <w:jc w:val="right"/>
            </w:pPr>
            <w:r>
              <w:t xml:space="preserve">11.5</w:t>
            </w:r>
          </w:p>
        </w:tc>
        <w:tc>
          <w:tcPr/>
          <w:p>
            <w:pPr>
              <w:pStyle w:val="Compact"/>
              <w:jc w:val="right"/>
            </w:pPr>
            <w:r>
              <w:t xml:space="preserve">0.709</w:t>
            </w:r>
          </w:p>
        </w:tc>
        <w:tc>
          <w:tcPr/>
          <w:p>
            <w:pPr>
              <w:pStyle w:val="Compact"/>
              <w:jc w:val="right"/>
            </w:pPr>
            <w:r>
              <w:t xml:space="preserve">0.214</w:t>
            </w:r>
          </w:p>
        </w:tc>
        <w:tc>
          <w:tcPr/>
          <w:p>
            <w:pPr>
              <w:pStyle w:val="Compact"/>
              <w:jc w:val="right"/>
            </w:pPr>
            <w:r>
              <w:t xml:space="preserve">0.419</w:t>
            </w:r>
          </w:p>
        </w:tc>
      </w:tr>
      <w:tr>
        <w:tc>
          <w:tcPr/>
          <w:p>
            <w:pPr>
              <w:pStyle w:val="Compact"/>
              <w:jc w:val="left"/>
            </w:pPr>
            <w:r>
              <w:t xml:space="preserve">500m</w:t>
            </w:r>
          </w:p>
        </w:tc>
        <w:tc>
          <w:tcPr/>
          <w:p>
            <w:pPr>
              <w:pStyle w:val="Compact"/>
              <w:jc w:val="left"/>
            </w:pPr>
            <w:r>
              <w:t xml:space="preserve">B</w:t>
            </w:r>
          </w:p>
        </w:tc>
        <w:tc>
          <w:tcPr/>
          <w:p>
            <w:pPr>
              <w:pStyle w:val="Compact"/>
              <w:jc w:val="left"/>
            </w:pPr>
            <w:r>
              <w:t xml:space="preserve">AF</w:t>
            </w:r>
          </w:p>
        </w:tc>
        <w:tc>
          <w:tcPr/>
          <w:p>
            <w:pPr>
              <w:pStyle w:val="Compact"/>
              <w:jc w:val="right"/>
            </w:pPr>
            <w:r>
              <w:t xml:space="preserve">1720.2</w:t>
            </w:r>
          </w:p>
        </w:tc>
        <w:tc>
          <w:tcPr/>
          <w:p>
            <w:pPr>
              <w:pStyle w:val="Compact"/>
              <w:jc w:val="right"/>
            </w:pPr>
            <w:r>
              <w:t xml:space="preserve">16.0</w:t>
            </w:r>
          </w:p>
        </w:tc>
        <w:tc>
          <w:tcPr/>
          <w:p>
            <w:pPr>
              <w:pStyle w:val="Compact"/>
              <w:jc w:val="right"/>
            </w:pPr>
            <w:r>
              <w:t xml:space="preserve">0.569</w:t>
            </w:r>
          </w:p>
        </w:tc>
        <w:tc>
          <w:tcPr/>
          <w:p>
            <w:pPr>
              <w:pStyle w:val="Compact"/>
              <w:jc w:val="right"/>
            </w:pPr>
            <w:r>
              <w:t xml:space="preserve">0.211</w:t>
            </w:r>
          </w:p>
        </w:tc>
        <w:tc>
          <w:tcPr/>
          <w:p>
            <w:pPr>
              <w:pStyle w:val="Compact"/>
              <w:jc w:val="right"/>
            </w:pPr>
            <w:r>
              <w:t xml:space="preserve">0.411</w:t>
            </w:r>
          </w:p>
        </w:tc>
      </w:tr>
      <w:tr>
        <w:tc>
          <w:tcPr/>
          <w:p>
            <w:pPr>
              <w:pStyle w:val="Compact"/>
              <w:jc w:val="left"/>
            </w:pPr>
            <w:r>
              <w:t xml:space="preserve">1000m</w:t>
            </w:r>
          </w:p>
        </w:tc>
        <w:tc>
          <w:tcPr/>
          <w:p>
            <w:pPr>
              <w:pStyle w:val="Compact"/>
              <w:jc w:val="left"/>
            </w:pPr>
            <w:r>
              <w:t xml:space="preserve">B</w:t>
            </w:r>
          </w:p>
        </w:tc>
        <w:tc>
          <w:tcPr/>
          <w:p>
            <w:pPr>
              <w:pStyle w:val="Compact"/>
              <w:jc w:val="left"/>
            </w:pPr>
            <w:r>
              <w:t xml:space="preserve">AF</w:t>
            </w:r>
          </w:p>
        </w:tc>
        <w:tc>
          <w:tcPr/>
          <w:p>
            <w:pPr>
              <w:pStyle w:val="Compact"/>
              <w:jc w:val="right"/>
            </w:pPr>
            <w:r>
              <w:t xml:space="preserve">1721.7</w:t>
            </w:r>
          </w:p>
        </w:tc>
        <w:tc>
          <w:tcPr/>
          <w:p>
            <w:pPr>
              <w:pStyle w:val="Compact"/>
              <w:jc w:val="right"/>
            </w:pPr>
            <w:r>
              <w:t xml:space="preserve">17.5</w:t>
            </w:r>
          </w:p>
        </w:tc>
        <w:tc>
          <w:tcPr/>
          <w:p>
            <w:pPr>
              <w:pStyle w:val="Compact"/>
              <w:jc w:val="right"/>
            </w:pPr>
            <w:r>
              <w:t xml:space="preserve">0.709</w:t>
            </w:r>
          </w:p>
        </w:tc>
        <w:tc>
          <w:tcPr/>
          <w:p>
            <w:pPr>
              <w:pStyle w:val="Compact"/>
              <w:jc w:val="right"/>
            </w:pPr>
            <w:r>
              <w:t xml:space="preserve">0.184</w:t>
            </w:r>
          </w:p>
        </w:tc>
        <w:tc>
          <w:tcPr/>
          <w:p>
            <w:pPr>
              <w:pStyle w:val="Compact"/>
              <w:jc w:val="right"/>
            </w:pPr>
            <w:r>
              <w:t xml:space="preserve">0.403</w:t>
            </w:r>
          </w:p>
        </w:tc>
      </w:tr>
      <w:tr>
        <w:tc>
          <w:tcPr/>
          <w:p>
            <w:pPr>
              <w:pStyle w:val="Compact"/>
              <w:jc w:val="left"/>
            </w:pPr>
            <w:r>
              <w:t xml:space="preserve">150m</w:t>
            </w:r>
          </w:p>
        </w:tc>
        <w:tc>
          <w:tcPr/>
          <w:p>
            <w:pPr>
              <w:pStyle w:val="Compact"/>
              <w:jc w:val="left"/>
            </w:pPr>
            <w:r>
              <w:t xml:space="preserve">B</w:t>
            </w:r>
          </w:p>
        </w:tc>
        <w:tc>
          <w:tcPr/>
          <w:p>
            <w:pPr>
              <w:pStyle w:val="Compact"/>
              <w:jc w:val="left"/>
            </w:pPr>
            <w:r>
              <w:t xml:space="preserve">INT</w:t>
            </w:r>
          </w:p>
        </w:tc>
        <w:tc>
          <w:tcPr/>
          <w:p>
            <w:pPr>
              <w:pStyle w:val="Compact"/>
              <w:jc w:val="right"/>
            </w:pPr>
            <w:r>
              <w:t xml:space="preserve">1724.4</w:t>
            </w:r>
          </w:p>
        </w:tc>
        <w:tc>
          <w:tcPr/>
          <w:p>
            <w:pPr>
              <w:pStyle w:val="Compact"/>
              <w:jc w:val="right"/>
            </w:pPr>
            <w:r>
              <w:t xml:space="preserve">20.2</w:t>
            </w:r>
          </w:p>
        </w:tc>
        <w:tc>
          <w:tcPr/>
          <w:p>
            <w:pPr>
              <w:pStyle w:val="Compact"/>
              <w:jc w:val="right"/>
            </w:pPr>
            <w:r>
              <w:t xml:space="preserve">0.753</w:t>
            </w:r>
          </w:p>
        </w:tc>
        <w:tc>
          <w:tcPr/>
          <w:p>
            <w:pPr>
              <w:pStyle w:val="Compact"/>
              <w:jc w:val="right"/>
            </w:pPr>
            <w:r>
              <w:t xml:space="preserve">0.188</w:t>
            </w:r>
          </w:p>
        </w:tc>
        <w:tc>
          <w:tcPr/>
          <w:p>
            <w:pPr>
              <w:pStyle w:val="Compact"/>
              <w:jc w:val="right"/>
            </w:pPr>
            <w:r>
              <w:t xml:space="preserve">0.388</w:t>
            </w:r>
          </w:p>
        </w:tc>
      </w:tr>
      <w:tr>
        <w:tc>
          <w:tcPr/>
          <w:p>
            <w:pPr>
              <w:pStyle w:val="Compact"/>
              <w:jc w:val="left"/>
            </w:pPr>
            <w:r>
              <w:t xml:space="preserve">500m</w:t>
            </w:r>
          </w:p>
        </w:tc>
        <w:tc>
          <w:tcPr/>
          <w:p>
            <w:pPr>
              <w:pStyle w:val="Compact"/>
              <w:jc w:val="left"/>
            </w:pPr>
            <w:r>
              <w:t xml:space="preserve">A</w:t>
            </w:r>
          </w:p>
        </w:tc>
        <w:tc>
          <w:tcPr/>
          <w:p>
            <w:pPr>
              <w:pStyle w:val="Compact"/>
              <w:jc w:val="left"/>
            </w:pPr>
            <w:r>
              <w:t xml:space="preserve">AF</w:t>
            </w:r>
          </w:p>
        </w:tc>
        <w:tc>
          <w:tcPr/>
          <w:p>
            <w:pPr>
              <w:pStyle w:val="Compact"/>
              <w:jc w:val="right"/>
            </w:pPr>
            <w:r>
              <w:t xml:space="preserve">1727.4</w:t>
            </w:r>
          </w:p>
        </w:tc>
        <w:tc>
          <w:tcPr/>
          <w:p>
            <w:pPr>
              <w:pStyle w:val="Compact"/>
              <w:jc w:val="right"/>
            </w:pPr>
            <w:r>
              <w:t xml:space="preserve">23.2</w:t>
            </w:r>
          </w:p>
        </w:tc>
        <w:tc>
          <w:tcPr/>
          <w:p>
            <w:pPr>
              <w:pStyle w:val="Compact"/>
              <w:jc w:val="right"/>
            </w:pPr>
            <w:r>
              <w:t xml:space="preserve">0.562</w:t>
            </w:r>
          </w:p>
        </w:tc>
        <w:tc>
          <w:tcPr/>
          <w:p>
            <w:pPr>
              <w:pStyle w:val="Compact"/>
              <w:jc w:val="right"/>
            </w:pPr>
            <w:r>
              <w:t xml:space="preserve">0.186</w:t>
            </w:r>
          </w:p>
        </w:tc>
        <w:tc>
          <w:tcPr/>
          <w:p>
            <w:pPr>
              <w:pStyle w:val="Compact"/>
              <w:jc w:val="right"/>
            </w:pPr>
            <w:r>
              <w:t xml:space="preserve">0.398</w:t>
            </w:r>
          </w:p>
        </w:tc>
      </w:tr>
      <w:tr>
        <w:tc>
          <w:tcPr/>
          <w:p>
            <w:pPr>
              <w:pStyle w:val="Compact"/>
              <w:jc w:val="left"/>
            </w:pPr>
            <w:r>
              <w:t xml:space="preserve">1000m</w:t>
            </w:r>
          </w:p>
        </w:tc>
        <w:tc>
          <w:tcPr/>
          <w:p>
            <w:pPr>
              <w:pStyle w:val="Compact"/>
              <w:jc w:val="left"/>
            </w:pPr>
            <w:r>
              <w:t xml:space="preserve">A</w:t>
            </w:r>
          </w:p>
        </w:tc>
        <w:tc>
          <w:tcPr/>
          <w:p>
            <w:pPr>
              <w:pStyle w:val="Compact"/>
              <w:jc w:val="left"/>
            </w:pPr>
            <w:r>
              <w:t xml:space="preserve">AF</w:t>
            </w:r>
          </w:p>
        </w:tc>
        <w:tc>
          <w:tcPr/>
          <w:p>
            <w:pPr>
              <w:pStyle w:val="Compact"/>
              <w:jc w:val="right"/>
            </w:pPr>
            <w:r>
              <w:t xml:space="preserve">1725.4</w:t>
            </w:r>
          </w:p>
        </w:tc>
        <w:tc>
          <w:tcPr/>
          <w:p>
            <w:pPr>
              <w:pStyle w:val="Compact"/>
              <w:jc w:val="right"/>
            </w:pPr>
            <w:r>
              <w:t xml:space="preserve">21.2</w:t>
            </w:r>
          </w:p>
        </w:tc>
        <w:tc>
          <w:tcPr/>
          <w:p>
            <w:pPr>
              <w:pStyle w:val="Compact"/>
              <w:jc w:val="right"/>
            </w:pPr>
            <w:r>
              <w:t xml:space="preserve">0.679</w:t>
            </w:r>
          </w:p>
        </w:tc>
        <w:tc>
          <w:tcPr/>
          <w:p>
            <w:pPr>
              <w:pStyle w:val="Compact"/>
              <w:jc w:val="right"/>
            </w:pPr>
            <w:r>
              <w:t xml:space="preserve">0.174</w:t>
            </w:r>
          </w:p>
        </w:tc>
        <w:tc>
          <w:tcPr/>
          <w:p>
            <w:pPr>
              <w:pStyle w:val="Compact"/>
              <w:jc w:val="right"/>
            </w:pPr>
            <w:r>
              <w:t xml:space="preserve">0.400</w:t>
            </w:r>
          </w:p>
        </w:tc>
      </w:tr>
      <w:tr>
        <w:tc>
          <w:tcPr/>
          <w:p>
            <w:pPr>
              <w:pStyle w:val="Compact"/>
              <w:jc w:val="left"/>
            </w:pPr>
            <w:r>
              <w:t xml:space="preserve">500m</w:t>
            </w:r>
          </w:p>
        </w:tc>
        <w:tc>
          <w:tcPr/>
          <w:p>
            <w:pPr>
              <w:pStyle w:val="Compact"/>
              <w:jc w:val="left"/>
            </w:pPr>
            <w:r>
              <w:t xml:space="preserve">A</w:t>
            </w:r>
          </w:p>
        </w:tc>
        <w:tc>
          <w:tcPr/>
          <w:p>
            <w:pPr>
              <w:pStyle w:val="Compact"/>
              <w:jc w:val="left"/>
            </w:pPr>
            <w:r>
              <w:t xml:space="preserve">AF</w:t>
            </w:r>
          </w:p>
        </w:tc>
        <w:tc>
          <w:tcPr/>
          <w:p>
            <w:pPr>
              <w:pStyle w:val="Compact"/>
              <w:jc w:val="right"/>
            </w:pPr>
            <w:r>
              <w:t xml:space="preserve">1733.5</w:t>
            </w:r>
          </w:p>
        </w:tc>
        <w:tc>
          <w:tcPr/>
          <w:p>
            <w:pPr>
              <w:pStyle w:val="Compact"/>
              <w:jc w:val="right"/>
            </w:pPr>
            <w:r>
              <w:t xml:space="preserve">29.3</w:t>
            </w:r>
          </w:p>
        </w:tc>
        <w:tc>
          <w:tcPr/>
          <w:p>
            <w:pPr>
              <w:pStyle w:val="Compact"/>
              <w:jc w:val="right"/>
            </w:pPr>
            <w:r>
              <w:t xml:space="preserve">0.028</w:t>
            </w:r>
          </w:p>
        </w:tc>
        <w:tc>
          <w:tcPr/>
          <w:p>
            <w:pPr>
              <w:pStyle w:val="Compact"/>
              <w:jc w:val="right"/>
            </w:pPr>
            <w:r>
              <w:t xml:space="preserve">0.199</w:t>
            </w:r>
          </w:p>
        </w:tc>
        <w:tc>
          <w:tcPr/>
          <w:p>
            <w:pPr>
              <w:pStyle w:val="Compact"/>
              <w:jc w:val="right"/>
            </w:pPr>
            <w:r>
              <w:t xml:space="preserve">0.413</w:t>
            </w:r>
          </w:p>
        </w:tc>
      </w:tr>
    </w:tbl>
    <w:p>
      <w:pPr>
        <w:pStyle w:val="BodyText"/>
      </w:pPr>
      <w:r>
        <w:t xml:space="preserve">This table shows that Method C at the 500m scale with an interaction term provided the best model fit (lowest AIC = 1704.2) and explained the highest proportion of variance in the data (delta R²m = 0.244, delta R²c = 0.424). Models using Method C consistently outperformed other methods across all spatial scales, with the top three models all using this method.</w:t>
      </w:r>
    </w:p>
    <w:bookmarkEnd w:id="34"/>
    <w:bookmarkEnd w:id="35"/>
    <w:bookmarkStart w:id="36" w:name="discussion"/>
    <w:p>
      <w:pPr>
        <w:pStyle w:val="Heading2"/>
      </w:pPr>
      <w:r>
        <w:t xml:space="preserve">Discussion</w:t>
      </w:r>
    </w:p>
    <w:p>
      <w:pPr>
        <w:pStyle w:val="FirstParagraph"/>
      </w:pPr>
      <w:r>
        <w:t xml:space="preserve">#[Interpret results in context of research questions and hypotheses]</w:t>
      </w:r>
    </w:p>
    <w:p>
      <w:pPr>
        <w:pStyle w:val="BodyText"/>
      </w:pPr>
      <w:r>
        <w:t xml:space="preserve">#Our analysis indicates that [habitat amount/fragmentation/both] significantly influence bird occupancy in this system. The [selected #model] suggests that [key findings about relative importance and interactions].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Amount and Fragmentation Effects on Bird Occupancy</dc:title>
  <dc:creator>Your Name</dc:creator>
  <cp:keywords/>
  <dcterms:created xsi:type="dcterms:W3CDTF">2024-12-04T16:20:06Z</dcterms:created>
  <dcterms:modified xsi:type="dcterms:W3CDTF">2024-12-04T16:20:06Z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2024-12-04</vt:lpwstr>
  </property>
  <property fmtid="{D5CDD505-2E9C-101B-9397-08002B2CF9AE}" pid="3" name="output">
    <vt:lpwstr/>
  </property>
</Properties>
</file>