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F5496"/>
          <w:sz w:val="44"/>
        </w:rPr>
        <w:t>The Genomic and Actionability Landscape</w:t>
      </w:r>
    </w:p>
    <w:p>
      <w:pPr>
        <w:jc w:val="center"/>
      </w:pPr>
      <w:r>
        <w:rPr>
          <w:b w:val="0"/>
          <w:i w:val="0"/>
          <w:color w:val="444444"/>
          <w:sz w:val="28"/>
        </w:rPr>
        <w:t>Vignette Figure Documentation</w:t>
      </w:r>
    </w:p>
    <w:p>
      <w:pPr>
        <w:spacing w:before="0" w:after="0"/>
      </w:pPr>
    </w:p>
    <w:p>
      <w:pPr>
        <w:pStyle w:val="Heading1"/>
        <w:spacing w:before="280" w:after="80"/>
      </w:pPr>
      <w:r>
        <w:rPr>
          <w:color w:val="2F5496"/>
        </w:rPr>
        <w:t>1. Overview</w:t>
      </w:r>
    </w:p>
    <w:p>
      <w:pPr>
        <w:spacing w:before="40" w:after="100"/>
      </w:pPr>
      <w:r>
        <w:rPr>
          <w:b w:val="0"/>
          <w:i w:val="0"/>
          <w:color w:val="222222"/>
          <w:sz w:val="22"/>
        </w:rPr>
        <w:t>The Genomic and Actionability Landscape vignette is a comprehensive multi-panel summary figure comparing a cancer cohort of interest (the test cohort, shown in blue) against a reference population (shown in grey). It integrates whole-genome sequencing (WGS) data and, where available, RNA sequencing data to characterise the genomic landscape, mutational processes, immune biology, cancer driver events, and clinically actionable alterations of the cohort.</w:t>
      </w:r>
    </w:p>
    <w:p>
      <w:pPr>
        <w:spacing w:before="40" w:after="100"/>
      </w:pPr>
      <w:r>
        <w:rPr>
          <w:b w:val="0"/>
          <w:i w:val="0"/>
          <w:color w:val="222222"/>
          <w:sz w:val="22"/>
        </w:rPr>
        <w:t>Two layout variants are available, differing only in how cancer tissue-of-origin prediction is displayed:</w:t>
      </w:r>
    </w:p>
    <w:p>
      <w:pPr>
        <w:pStyle w:val="ListBullet"/>
        <w:spacing w:before="20" w:after="40"/>
      </w:pPr>
      <w:r>
        <w:rPr>
          <w:b w:val="0"/>
          <w:i w:val="0"/>
          <w:color w:val="222222"/>
          <w:sz w:val="22"/>
        </w:rPr>
        <w:t>Vignette A — cancer tissue-of-origin prediction shown as word clouds, one per classifier.</w:t>
      </w:r>
    </w:p>
    <w:p>
      <w:pPr>
        <w:pStyle w:val="ListBullet"/>
        <w:spacing w:before="20" w:after="40"/>
      </w:pPr>
      <w:r>
        <w:rPr>
          <w:b w:val="0"/>
          <w:i w:val="0"/>
          <w:color w:val="222222"/>
          <w:sz w:val="22"/>
        </w:rPr>
        <w:t>Vignette B — cancer tissue-of-origin prediction shown as stacked bar charts, one per classifier.</w:t>
      </w:r>
    </w:p>
    <w:p>
      <w:pPr>
        <w:spacing w:before="0" w:after="0"/>
      </w:pPr>
    </w:p>
    <w:p>
      <w:pPr>
        <w:spacing w:before="40" w:after="100"/>
      </w:pPr>
      <w:r>
        <w:rPr>
          <w:b w:val="0"/>
          <w:i w:val="0"/>
          <w:color w:val="222222"/>
          <w:sz w:val="22"/>
        </w:rPr>
        <w:t>All panels compare the test cohort against the reference cohort. Where statistical testing is applied, significance is indicated with asterisks (* p &lt; 0.05, ** p &lt; 0.01, *** p &lt; 0.001; Wilcoxon rank-sum test). Median values are annotated on continuous distributions.</w:t>
      </w:r>
    </w:p>
    <w:p>
      <w:pPr>
        <w:pStyle w:val="Heading1"/>
        <w:spacing w:before="280" w:after="80"/>
      </w:pPr>
      <w:r>
        <w:rPr>
          <w:color w:val="2F5496"/>
        </w:rPr>
        <w:t>2. Cohort Metadata</w:t>
      </w:r>
    </w:p>
    <w:p>
      <w:pPr>
        <w:spacing w:before="40" w:after="100"/>
      </w:pPr>
      <w:r>
        <w:rPr>
          <w:b w:val="0"/>
          <w:i w:val="0"/>
          <w:color w:val="222222"/>
          <w:sz w:val="22"/>
        </w:rPr>
        <w:t>The Cohort Metadata panel provides a clinical overview of the test cohort, including:</w:t>
      </w:r>
    </w:p>
    <w:p>
      <w:pPr>
        <w:pStyle w:val="ListBullet"/>
        <w:spacing w:before="20" w:after="40"/>
      </w:pPr>
      <w:r>
        <w:rPr>
          <w:b w:val="0"/>
          <w:i w:val="0"/>
          <w:color w:val="222222"/>
          <w:sz w:val="22"/>
        </w:rPr>
        <w:t>Data availability — the number of patients with WGS, RNA sequencing, biopsy information, treatment data, and response data available.</w:t>
      </w:r>
    </w:p>
    <w:p>
      <w:pPr>
        <w:pStyle w:val="ListBullet"/>
        <w:spacing w:before="20" w:after="40"/>
      </w:pPr>
      <w:r>
        <w:rPr>
          <w:b w:val="0"/>
          <w:i w:val="0"/>
          <w:color w:val="222222"/>
          <w:sz w:val="22"/>
        </w:rPr>
        <w:t>Treatment and response — the distribution of post-biopsy treatment types (chemotherapy, hormonal therapy, targeted therapy, immunotherapy, or combinations) and the number of patients who achieved a complete or partial response (per RECIST criteria) within each treatment category.</w:t>
      </w:r>
    </w:p>
    <w:p>
      <w:pPr>
        <w:pStyle w:val="ListBullet"/>
        <w:spacing w:before="20" w:after="40"/>
      </w:pPr>
      <w:r>
        <w:rPr>
          <w:b w:val="0"/>
          <w:i w:val="0"/>
          <w:color w:val="222222"/>
          <w:sz w:val="22"/>
        </w:rPr>
        <w:t>Biopsy location — a tile grid showing the biopsy site for each patient, colour-coded by location type (primary tumour, liver metastasis, lymph node, abdominal, bone, or other).</w:t>
      </w:r>
    </w:p>
    <w:p>
      <w:pPr>
        <w:spacing w:before="0" w:after="0"/>
      </w:pPr>
    </w:p>
    <w:p>
      <w:pPr>
        <w:spacing w:before="40" w:after="100"/>
      </w:pPr>
      <w:r>
        <w:rPr>
          <w:b w:val="0"/>
          <w:i w:val="0"/>
          <w:color w:val="222222"/>
          <w:sz w:val="22"/>
        </w:rPr>
        <w:t>Source: Hartwig Medical Foundation clinical database (hartwigmedicalfoundation.nl/en/data/database/).</w:t>
      </w:r>
    </w:p>
    <w:p>
      <w:pPr>
        <w:pStyle w:val="Heading1"/>
        <w:spacing w:before="280" w:after="80"/>
      </w:pPr>
      <w:r>
        <w:rPr>
          <w:color w:val="2F5496"/>
        </w:rPr>
        <w:t>3. Tumor Characteristics</w:t>
      </w:r>
    </w:p>
    <w:p>
      <w:pPr>
        <w:spacing w:before="40" w:after="100"/>
      </w:pPr>
      <w:r>
        <w:rPr>
          <w:b w:val="0"/>
          <w:i w:val="0"/>
          <w:color w:val="222222"/>
          <w:sz w:val="22"/>
        </w:rPr>
        <w:t>A grouped bar chart showing the proportion of patients positive for each key genomic feature, comparing the test cohort (blue) against the reference cohort (grey). Features are organised into three groups:</w:t>
      </w:r>
    </w:p>
    <w:p>
      <w:pPr>
        <w:pStyle w:val="Heading2"/>
        <w:spacing w:before="160" w:after="80"/>
      </w:pPr>
      <w:r>
        <w:rPr>
          <w:color w:val="2F5496"/>
        </w:rPr>
        <w:t>Genomic structure</w:t>
      </w:r>
    </w:p>
    <w:p>
      <w:pPr>
        <w:pStyle w:val="ListBullet"/>
        <w:spacing w:before="20" w:after="40"/>
      </w:pPr>
      <w:r>
        <w:rPr>
          <w:b w:val="0"/>
          <w:i w:val="0"/>
          <w:color w:val="222222"/>
          <w:sz w:val="22"/>
        </w:rPr>
        <w:t>Purity — the estimated fraction of tumour-derived cells in the biopsy sample.</w:t>
      </w:r>
    </w:p>
    <w:p>
      <w:pPr>
        <w:pStyle w:val="ListBullet"/>
        <w:spacing w:before="20" w:after="40"/>
      </w:pPr>
      <w:r>
        <w:rPr>
          <w:b w:val="0"/>
          <w:i w:val="0"/>
          <w:color w:val="222222"/>
          <w:sz w:val="22"/>
        </w:rPr>
        <w:t>WGD — whole genome doubling, a marker of large-scale genomic instability.</w:t>
      </w:r>
    </w:p>
    <w:p>
      <w:pPr>
        <w:pStyle w:val="ListBullet"/>
        <w:spacing w:before="20" w:after="40"/>
      </w:pPr>
      <w:r>
        <w:rPr>
          <w:b w:val="0"/>
          <w:i w:val="0"/>
          <w:color w:val="222222"/>
          <w:sz w:val="22"/>
        </w:rPr>
        <w:t>LOH — the percentage of the genome affected by loss of heterozygosity.</w:t>
      </w:r>
    </w:p>
    <w:p>
      <w:pPr>
        <w:pStyle w:val="ListBullet"/>
        <w:spacing w:before="20" w:after="40"/>
      </w:pPr>
      <w:r>
        <w:rPr>
          <w:b w:val="0"/>
          <w:i w:val="0"/>
          <w:color w:val="222222"/>
          <w:sz w:val="22"/>
        </w:rPr>
        <w:t>Clonal — mean clonality score, reflecting the degree of tumour evolution and subclonal diversity.</w:t>
      </w:r>
    </w:p>
    <w:p>
      <w:pPr>
        <w:pStyle w:val="ListBullet"/>
        <w:spacing w:before="20" w:after="40"/>
      </w:pPr>
      <w:r>
        <w:rPr>
          <w:b w:val="0"/>
          <w:i w:val="0"/>
          <w:color w:val="222222"/>
          <w:sz w:val="22"/>
        </w:rPr>
        <w:t>HRD — homologous recombination deficiency, indicating a defect in high-fidelity DNA double-strand break repair.</w:t>
      </w:r>
    </w:p>
    <w:p>
      <w:pPr>
        <w:pStyle w:val="ListBullet"/>
        <w:spacing w:before="20" w:after="40"/>
      </w:pPr>
      <w:r>
        <w:rPr>
          <w:b w:val="0"/>
          <w:i w:val="0"/>
          <w:color w:val="222222"/>
          <w:sz w:val="22"/>
        </w:rPr>
        <w:t>SV High — elevated structural variant burden (more than 300 structural variants detected).</w:t>
      </w:r>
    </w:p>
    <w:p>
      <w:pPr>
        <w:pStyle w:val="ListBullet"/>
        <w:spacing w:before="20" w:after="40"/>
      </w:pPr>
      <w:r>
        <w:rPr>
          <w:b w:val="0"/>
          <w:i w:val="0"/>
          <w:color w:val="222222"/>
          <w:sz w:val="22"/>
        </w:rPr>
        <w:t>ecDNA — presence of extrachromosomal DNA amplifications (double minutes), associated with extreme oncogene amplification.</w:t>
      </w:r>
    </w:p>
    <w:p>
      <w:pPr>
        <w:pStyle w:val="Heading2"/>
        <w:spacing w:before="160" w:after="80"/>
      </w:pPr>
      <w:r>
        <w:rPr>
          <w:color w:val="2F5496"/>
        </w:rPr>
        <w:t>Immunotherapy biomarkers</w:t>
      </w:r>
    </w:p>
    <w:p>
      <w:pPr>
        <w:pStyle w:val="ListBullet"/>
        <w:spacing w:before="20" w:after="40"/>
      </w:pPr>
      <w:r>
        <w:rPr>
          <w:b w:val="0"/>
          <w:i w:val="0"/>
          <w:color w:val="222222"/>
          <w:sz w:val="22"/>
        </w:rPr>
        <w:t>TMB High — tumour mutational burden exceeding 10 mutations per megabase. High TMB is associated with response to immune checkpoint inhibitors.</w:t>
      </w:r>
    </w:p>
    <w:p>
      <w:pPr>
        <w:pStyle w:val="ListBullet"/>
        <w:spacing w:before="20" w:after="40"/>
      </w:pPr>
      <w:r>
        <w:rPr>
          <w:b w:val="0"/>
          <w:i w:val="0"/>
          <w:color w:val="222222"/>
          <w:sz w:val="22"/>
        </w:rPr>
        <w:t>MSI High — microsatellite instability exceeding 4 indels per megabase, a marker of defective mismatch repair.</w:t>
      </w:r>
    </w:p>
    <w:p>
      <w:pPr>
        <w:pStyle w:val="Heading2"/>
        <w:spacing w:before="160" w:after="80"/>
      </w:pPr>
      <w:r>
        <w:rPr>
          <w:color w:val="2F5496"/>
        </w:rPr>
        <w:t>Immune biology</w:t>
      </w:r>
    </w:p>
    <w:p>
      <w:pPr>
        <w:pStyle w:val="ListBullet"/>
        <w:spacing w:before="20" w:after="40"/>
      </w:pPr>
      <w:r>
        <w:rPr>
          <w:b w:val="0"/>
          <w:i w:val="0"/>
          <w:color w:val="222222"/>
          <w:sz w:val="22"/>
        </w:rPr>
        <w:t>GIE — genetic immune escape events, alterations that allow tumour cells to evade immune recognition.</w:t>
      </w:r>
    </w:p>
    <w:p>
      <w:pPr>
        <w:pStyle w:val="ListBullet"/>
        <w:spacing w:before="20" w:after="40"/>
      </w:pPr>
      <w:r>
        <w:rPr>
          <w:b w:val="0"/>
          <w:i w:val="0"/>
          <w:color w:val="222222"/>
          <w:sz w:val="22"/>
        </w:rPr>
        <w:t>HLA LOH — loss of heterozygosity at HLA loci, a common mechanism of immune evasion.</w:t>
      </w:r>
    </w:p>
    <w:p>
      <w:pPr>
        <w:pStyle w:val="ListBullet"/>
        <w:spacing w:before="20" w:after="40"/>
      </w:pPr>
      <w:r>
        <w:rPr>
          <w:b w:val="0"/>
          <w:i w:val="0"/>
          <w:color w:val="222222"/>
          <w:sz w:val="22"/>
        </w:rPr>
        <w:t>Immune Infiltrated — T-cell receptor diversity indicating immune cell infiltration of the tumour.</w:t>
      </w:r>
    </w:p>
    <w:p>
      <w:pPr>
        <w:pStyle w:val="ListBullet"/>
        <w:spacing w:before="20" w:after="40"/>
      </w:pPr>
      <w:r>
        <w:rPr>
          <w:b w:val="0"/>
          <w:i w:val="0"/>
          <w:color w:val="222222"/>
          <w:sz w:val="22"/>
        </w:rPr>
        <w:t>Viral reported — viral sequence integrations detected and reported in the tumour genome.</w:t>
      </w:r>
    </w:p>
    <w:p>
      <w:pPr>
        <w:pStyle w:val="Heading1"/>
        <w:spacing w:before="280" w:after="80"/>
      </w:pPr>
      <w:r>
        <w:rPr>
          <w:color w:val="2F5496"/>
        </w:rPr>
        <w:t>4. Processes Underlying Mutations</w:t>
      </w:r>
    </w:p>
    <w:p>
      <w:pPr>
        <w:spacing w:before="40" w:after="100"/>
      </w:pPr>
      <w:r>
        <w:rPr>
          <w:b w:val="0"/>
          <w:i w:val="0"/>
          <w:color w:val="222222"/>
          <w:sz w:val="22"/>
        </w:rPr>
        <w:t>A circular bar chart comparing the contribution of known mutational processes to the somatic mutation landscape of each cohort. The test cohort is shown in colour and the reference cohort in grey, with percentage labels annotating the test cohort bars.</w:t>
      </w:r>
    </w:p>
    <w:p>
      <w:pPr>
        <w:spacing w:before="40" w:after="100"/>
      </w:pPr>
      <w:r>
        <w:rPr>
          <w:b w:val="0"/>
          <w:i w:val="0"/>
          <w:color w:val="222222"/>
          <w:sz w:val="22"/>
        </w:rPr>
        <w:t>Mutations are attributed to six biologically meaningful process categories based on established COSMIC mutational signatures:</w:t>
      </w:r>
    </w:p>
    <w:p>
      <w:pPr>
        <w:spacing w:before="0" w:after="0"/>
      </w:pPr>
    </w:p>
    <w:tbl>
      <w:tblPr>
        <w:tblStyle w:val="TableGrid"/>
        <w:tblW w:type="auto" w:w="0"/>
        <w:jc w:val="left"/>
        <w:tblLook w:firstColumn="1" w:firstRow="1" w:lastColumn="0" w:lastRow="0" w:noHBand="0" w:noVBand="1" w:val="04A0"/>
      </w:tblPr>
      <w:tblGrid>
        <w:gridCol w:w="4703"/>
        <w:gridCol w:w="4703"/>
      </w:tblGrid>
      <w:tr>
        <w:tc>
          <w:tcPr>
            <w:tcW w:type="dxa" w:w="2448"/>
            <w:shd w:val="clear" w:color="auto" w:fill="2F5496"/>
          </w:tcPr>
          <w:p>
            <w:r>
              <w:rPr>
                <w:b/>
                <w:i w:val="0"/>
                <w:color w:val="FFFFFF"/>
                <w:sz w:val="18"/>
              </w:rPr>
              <w:t>Mutational process</w:t>
            </w:r>
          </w:p>
        </w:tc>
        <w:tc>
          <w:tcPr>
            <w:tcW w:type="dxa" w:w="6192"/>
            <w:shd w:val="clear" w:color="auto" w:fill="2F5496"/>
          </w:tcPr>
          <w:p>
            <w:r>
              <w:rPr>
                <w:b/>
                <w:i w:val="0"/>
                <w:color w:val="FFFFFF"/>
                <w:sz w:val="18"/>
              </w:rPr>
              <w:t>Biological basis</w:t>
            </w:r>
          </w:p>
        </w:tc>
      </w:tr>
      <w:tr>
        <w:tc>
          <w:tcPr>
            <w:tcW w:type="dxa" w:w="2448"/>
            <w:shd w:val="clear" w:color="auto" w:fill="FFFFFF"/>
          </w:tcPr>
          <w:p>
            <w:r>
              <w:rPr>
                <w:b w:val="0"/>
                <w:i w:val="0"/>
                <w:color w:val="222222"/>
                <w:sz w:val="18"/>
              </w:rPr>
              <w:t>Ageing</w:t>
            </w:r>
          </w:p>
        </w:tc>
        <w:tc>
          <w:tcPr>
            <w:tcW w:type="dxa" w:w="6192"/>
            <w:shd w:val="clear" w:color="auto" w:fill="FFFFFF"/>
          </w:tcPr>
          <w:p>
            <w:r>
              <w:rPr>
                <w:b w:val="0"/>
                <w:i w:val="0"/>
                <w:color w:val="222222"/>
                <w:sz w:val="18"/>
              </w:rPr>
              <w:t>Spontaneous deamination of methylated cytosines, accumulating with normal cell ageing.</w:t>
            </w:r>
          </w:p>
        </w:tc>
      </w:tr>
      <w:tr>
        <w:tc>
          <w:tcPr>
            <w:tcW w:type="dxa" w:w="2448"/>
            <w:shd w:val="clear" w:color="auto" w:fill="EEF2FF"/>
          </w:tcPr>
          <w:p>
            <w:r>
              <w:rPr>
                <w:b w:val="0"/>
                <w:i w:val="0"/>
                <w:color w:val="222222"/>
                <w:sz w:val="18"/>
              </w:rPr>
              <w:t>APOBEC</w:t>
            </w:r>
          </w:p>
        </w:tc>
        <w:tc>
          <w:tcPr>
            <w:tcW w:type="dxa" w:w="6192"/>
            <w:shd w:val="clear" w:color="auto" w:fill="EEF2FF"/>
          </w:tcPr>
          <w:p>
            <w:r>
              <w:rPr>
                <w:b w:val="0"/>
                <w:i w:val="0"/>
                <w:color w:val="222222"/>
                <w:sz w:val="18"/>
              </w:rPr>
              <w:t>Activity of APOBEC cytidine deaminase enzymes; commonly elevated in breast, lung, and bladder cancers.</w:t>
            </w:r>
          </w:p>
        </w:tc>
      </w:tr>
      <w:tr>
        <w:tc>
          <w:tcPr>
            <w:tcW w:type="dxa" w:w="2448"/>
            <w:shd w:val="clear" w:color="auto" w:fill="FFFFFF"/>
          </w:tcPr>
          <w:p>
            <w:r>
              <w:rPr>
                <w:b w:val="0"/>
                <w:i w:val="0"/>
                <w:color w:val="222222"/>
                <w:sz w:val="18"/>
              </w:rPr>
              <w:t>DNA damage repair</w:t>
            </w:r>
          </w:p>
        </w:tc>
        <w:tc>
          <w:tcPr>
            <w:tcW w:type="dxa" w:w="6192"/>
            <w:shd w:val="clear" w:color="auto" w:fill="FFFFFF"/>
          </w:tcPr>
          <w:p>
            <w:r>
              <w:rPr>
                <w:b w:val="0"/>
                <w:i w:val="0"/>
                <w:color w:val="222222"/>
                <w:sz w:val="18"/>
              </w:rPr>
              <w:t>Defective homologous recombination and mismatch repair, including BRCA-associated mutational patterns.</w:t>
            </w:r>
          </w:p>
        </w:tc>
      </w:tr>
      <w:tr>
        <w:tc>
          <w:tcPr>
            <w:tcW w:type="dxa" w:w="2448"/>
            <w:shd w:val="clear" w:color="auto" w:fill="EEF2FF"/>
          </w:tcPr>
          <w:p>
            <w:r>
              <w:rPr>
                <w:b w:val="0"/>
                <w:i w:val="0"/>
                <w:color w:val="222222"/>
                <w:sz w:val="18"/>
              </w:rPr>
              <w:t>Tobacco</w:t>
            </w:r>
          </w:p>
        </w:tc>
        <w:tc>
          <w:tcPr>
            <w:tcW w:type="dxa" w:w="6192"/>
            <w:shd w:val="clear" w:color="auto" w:fill="EEF2FF"/>
          </w:tcPr>
          <w:p>
            <w:r>
              <w:rPr>
                <w:b w:val="0"/>
                <w:i w:val="0"/>
                <w:color w:val="222222"/>
                <w:sz w:val="18"/>
              </w:rPr>
              <w:t>Carcinogenic exposure from tobacco smoke; predominant in lung cancers.</w:t>
            </w:r>
          </w:p>
        </w:tc>
      </w:tr>
      <w:tr>
        <w:tc>
          <w:tcPr>
            <w:tcW w:type="dxa" w:w="2448"/>
            <w:shd w:val="clear" w:color="auto" w:fill="FFFFFF"/>
          </w:tcPr>
          <w:p>
            <w:r>
              <w:rPr>
                <w:b w:val="0"/>
                <w:i w:val="0"/>
                <w:color w:val="222222"/>
                <w:sz w:val="18"/>
              </w:rPr>
              <w:t>UV light</w:t>
            </w:r>
          </w:p>
        </w:tc>
        <w:tc>
          <w:tcPr>
            <w:tcW w:type="dxa" w:w="6192"/>
            <w:shd w:val="clear" w:color="auto" w:fill="FFFFFF"/>
          </w:tcPr>
          <w:p>
            <w:r>
              <w:rPr>
                <w:b w:val="0"/>
                <w:i w:val="0"/>
                <w:color w:val="222222"/>
                <w:sz w:val="18"/>
              </w:rPr>
              <w:t>Ultraviolet light-induced DNA damage; the dominant process in melanoma.</w:t>
            </w:r>
          </w:p>
        </w:tc>
      </w:tr>
      <w:tr>
        <w:tc>
          <w:tcPr>
            <w:tcW w:type="dxa" w:w="2448"/>
            <w:shd w:val="clear" w:color="auto" w:fill="EEF2FF"/>
          </w:tcPr>
          <w:p>
            <w:r>
              <w:rPr>
                <w:b w:val="0"/>
                <w:i w:val="0"/>
                <w:color w:val="222222"/>
                <w:sz w:val="18"/>
              </w:rPr>
              <w:t>Chemical exposure</w:t>
            </w:r>
          </w:p>
        </w:tc>
        <w:tc>
          <w:tcPr>
            <w:tcW w:type="dxa" w:w="6192"/>
            <w:shd w:val="clear" w:color="auto" w:fill="EEF2FF"/>
          </w:tcPr>
          <w:p>
            <w:r>
              <w:rPr>
                <w:b w:val="0"/>
                <w:i w:val="0"/>
                <w:color w:val="222222"/>
                <w:sz w:val="18"/>
              </w:rPr>
              <w:t>Exposure to environmental or therapeutic chemicals, including alkylating agents.</w:t>
            </w:r>
          </w:p>
        </w:tc>
      </w:tr>
    </w:tbl>
    <w:p>
      <w:pPr>
        <w:spacing w:before="0" w:after="0"/>
      </w:pPr>
    </w:p>
    <w:p>
      <w:pPr>
        <w:pStyle w:val="Heading1"/>
        <w:spacing w:before="280" w:after="80"/>
      </w:pPr>
      <w:r>
        <w:rPr>
          <w:color w:val="2F5496"/>
        </w:rPr>
        <w:t>5. Primary Tumor Prediction (CUPPA)</w:t>
      </w:r>
    </w:p>
    <w:p>
      <w:pPr>
        <w:spacing w:before="40" w:after="100"/>
      </w:pPr>
      <w:r>
        <w:rPr>
          <w:b w:val="0"/>
          <w:i w:val="0"/>
          <w:color w:val="222222"/>
          <w:sz w:val="22"/>
        </w:rPr>
        <w:t>CUPPA (Cancer of Unknown Primary Prediction Algorithm) predicts the most likely cancer tissue-of-origin using patterns in the whole-genome sequencing data. Four independent classifiers are shown, each contributing a probability estimate per cancer type:</w:t>
      </w:r>
    </w:p>
    <w:p>
      <w:pPr>
        <w:spacing w:before="0" w:after="0"/>
      </w:pPr>
    </w:p>
    <w:tbl>
      <w:tblPr>
        <w:tblStyle w:val="TableGrid"/>
        <w:tblW w:type="auto" w:w="0"/>
        <w:jc w:val="left"/>
        <w:tblLook w:firstColumn="1" w:firstRow="1" w:lastColumn="0" w:lastRow="0" w:noHBand="0" w:noVBand="1" w:val="04A0"/>
      </w:tblPr>
      <w:tblGrid>
        <w:gridCol w:w="4703"/>
        <w:gridCol w:w="4703"/>
      </w:tblGrid>
      <w:tr>
        <w:tc>
          <w:tcPr>
            <w:tcW w:type="dxa" w:w="2304"/>
            <w:shd w:val="clear" w:color="auto" w:fill="2F5496"/>
          </w:tcPr>
          <w:p>
            <w:r>
              <w:rPr>
                <w:b/>
                <w:i w:val="0"/>
                <w:color w:val="FFFFFF"/>
                <w:sz w:val="18"/>
              </w:rPr>
              <w:t>Classifier</w:t>
            </w:r>
          </w:p>
        </w:tc>
        <w:tc>
          <w:tcPr>
            <w:tcW w:type="dxa" w:w="6336"/>
            <w:shd w:val="clear" w:color="auto" w:fill="2F5496"/>
          </w:tcPr>
          <w:p>
            <w:r>
              <w:rPr>
                <w:b/>
                <w:i w:val="0"/>
                <w:color w:val="FFFFFF"/>
                <w:sz w:val="18"/>
              </w:rPr>
              <w:t>Basis of prediction</w:t>
            </w:r>
          </w:p>
        </w:tc>
      </w:tr>
      <w:tr>
        <w:tc>
          <w:tcPr>
            <w:tcW w:type="dxa" w:w="2304"/>
            <w:shd w:val="clear" w:color="auto" w:fill="FFFFFF"/>
          </w:tcPr>
          <w:p>
            <w:r>
              <w:rPr>
                <w:b w:val="0"/>
                <w:i w:val="0"/>
                <w:color w:val="222222"/>
                <w:sz w:val="18"/>
              </w:rPr>
              <w:t>DNA Combined</w:t>
            </w:r>
          </w:p>
        </w:tc>
        <w:tc>
          <w:tcPr>
            <w:tcW w:type="dxa" w:w="6336"/>
            <w:shd w:val="clear" w:color="auto" w:fill="FFFFFF"/>
          </w:tcPr>
          <w:p>
            <w:r>
              <w:rPr>
                <w:b w:val="0"/>
                <w:i w:val="0"/>
                <w:color w:val="222222"/>
                <w:sz w:val="18"/>
              </w:rPr>
              <w:t>Ensemble combining all DNA-based classifiers; the primary prediction.</w:t>
            </w:r>
          </w:p>
        </w:tc>
      </w:tr>
      <w:tr>
        <w:tc>
          <w:tcPr>
            <w:tcW w:type="dxa" w:w="2304"/>
            <w:shd w:val="clear" w:color="auto" w:fill="EEF2FF"/>
          </w:tcPr>
          <w:p>
            <w:r>
              <w:rPr>
                <w:b w:val="0"/>
                <w:i w:val="0"/>
                <w:color w:val="222222"/>
                <w:sz w:val="18"/>
              </w:rPr>
              <w:t>Genomic Position</w:t>
            </w:r>
          </w:p>
        </w:tc>
        <w:tc>
          <w:tcPr>
            <w:tcW w:type="dxa" w:w="6336"/>
            <w:shd w:val="clear" w:color="auto" w:fill="EEF2FF"/>
          </w:tcPr>
          <w:p>
            <w:r>
              <w:rPr>
                <w:b w:val="0"/>
                <w:i w:val="0"/>
                <w:color w:val="222222"/>
                <w:sz w:val="18"/>
              </w:rPr>
              <w:t>Mutational density patterns across windows of the genome.</w:t>
            </w:r>
          </w:p>
        </w:tc>
      </w:tr>
      <w:tr>
        <w:tc>
          <w:tcPr>
            <w:tcW w:type="dxa" w:w="2304"/>
            <w:shd w:val="clear" w:color="auto" w:fill="FFFFFF"/>
          </w:tcPr>
          <w:p>
            <w:r>
              <w:rPr>
                <w:b w:val="0"/>
                <w:i w:val="0"/>
                <w:color w:val="222222"/>
                <w:sz w:val="18"/>
              </w:rPr>
              <w:t>Genomic Events</w:t>
            </w:r>
          </w:p>
        </w:tc>
        <w:tc>
          <w:tcPr>
            <w:tcW w:type="dxa" w:w="6336"/>
            <w:shd w:val="clear" w:color="auto" w:fill="FFFFFF"/>
          </w:tcPr>
          <w:p>
            <w:r>
              <w:rPr>
                <w:b w:val="0"/>
                <w:i w:val="0"/>
                <w:color w:val="222222"/>
                <w:sz w:val="18"/>
              </w:rPr>
              <w:t>Driver gene events, viral integrations, and structural variant features.</w:t>
            </w:r>
          </w:p>
        </w:tc>
      </w:tr>
      <w:tr>
        <w:tc>
          <w:tcPr>
            <w:tcW w:type="dxa" w:w="2304"/>
            <w:shd w:val="clear" w:color="auto" w:fill="EEF2FF"/>
          </w:tcPr>
          <w:p>
            <w:r>
              <w:rPr>
                <w:b w:val="0"/>
                <w:i w:val="0"/>
                <w:color w:val="222222"/>
                <w:sz w:val="18"/>
              </w:rPr>
              <w:t>SBS96</w:t>
            </w:r>
          </w:p>
        </w:tc>
        <w:tc>
          <w:tcPr>
            <w:tcW w:type="dxa" w:w="6336"/>
            <w:shd w:val="clear" w:color="auto" w:fill="EEF2FF"/>
          </w:tcPr>
          <w:p>
            <w:r>
              <w:rPr>
                <w:b w:val="0"/>
                <w:i w:val="0"/>
                <w:color w:val="222222"/>
                <w:sz w:val="18"/>
              </w:rPr>
              <w:t>Single-base substitution trinucleotide spectrum (mutational signature profile).</w:t>
            </w:r>
          </w:p>
        </w:tc>
      </w:tr>
    </w:tbl>
    <w:p>
      <w:pPr>
        <w:spacing w:before="0" w:after="0"/>
      </w:pPr>
    </w:p>
    <w:p>
      <w:pPr>
        <w:spacing w:before="40" w:after="100"/>
      </w:pPr>
      <w:r>
        <w:rPr>
          <w:b w:val="0"/>
          <w:i w:val="0"/>
          <w:color w:val="222222"/>
          <w:sz w:val="22"/>
        </w:rPr>
        <w:t>In Vignette A (word clouds), the font size of each cancer type label is proportional to its predicted probability. In Vignette B (stacked bars), the four most frequent predictions per classifier are shown alongside an "Other" category and a "Low Conf" bar for samples where the prediction confidence falls below the defined threshold (80% for the DNA Combined classifier, 50% for all others).</w:t>
      </w:r>
    </w:p>
    <w:p>
      <w:pPr>
        <w:spacing w:before="40" w:after="100"/>
      </w:pPr>
      <w:r>
        <w:rPr>
          <w:b w:val="0"/>
          <w:i w:val="0"/>
          <w:color w:val="222222"/>
          <w:sz w:val="22"/>
        </w:rPr>
        <w:t>Cancer type labels use standard clinical abbreviations — for example: PRAD (prostate adenocarcinoma), TNBC (triple-negative breast cancer), LUAD (lung adenocarcinoma), OV (ovarian carcinoma).</w:t>
      </w:r>
    </w:p>
    <w:p>
      <w:pPr>
        <w:pStyle w:val="Heading1"/>
        <w:spacing w:before="280" w:after="80"/>
      </w:pPr>
      <w:r>
        <w:rPr>
          <w:color w:val="2F5496"/>
        </w:rPr>
        <w:t>6. Genomic Landscape</w:t>
      </w:r>
    </w:p>
    <w:p>
      <w:pPr>
        <w:spacing w:before="40" w:after="100"/>
      </w:pPr>
      <w:r>
        <w:rPr>
          <w:b w:val="0"/>
          <w:i w:val="0"/>
          <w:color w:val="222222"/>
          <w:sz w:val="22"/>
        </w:rPr>
        <w:t>The Genomic Landscape section presents violin plots of continuous genomic metrics, comparing the distribution of values across the test and reference cohorts. Each violin shows the full distribution with individual patient values overlaid as points. The median is marked with a horizontal line.</w:t>
      </w:r>
    </w:p>
    <w:p>
      <w:pPr>
        <w:pStyle w:val="Heading2"/>
        <w:spacing w:before="160" w:after="80"/>
      </w:pPr>
      <w:r>
        <w:rPr>
          <w:color w:val="2F5496"/>
        </w:rPr>
        <w:t>6.1  Mutational Burden</w:t>
      </w:r>
    </w:p>
    <w:p>
      <w:pPr>
        <w:spacing w:before="40" w:after="100"/>
      </w:pPr>
      <w:r>
        <w:rPr>
          <w:b w:val="0"/>
          <w:i w:val="0"/>
          <w:color w:val="222222"/>
          <w:sz w:val="22"/>
        </w:rPr>
        <w:t>Quantifies the rate and spectrum of somatic mutations across the genome:</w:t>
      </w:r>
    </w:p>
    <w:p>
      <w:pPr>
        <w:pStyle w:val="ListBullet"/>
        <w:spacing w:before="20" w:after="40"/>
      </w:pPr>
      <w:r>
        <w:rPr>
          <w:b w:val="0"/>
          <w:i w:val="0"/>
          <w:color w:val="222222"/>
          <w:sz w:val="22"/>
        </w:rPr>
        <w:t>Tumour mutational burden (TMB) — total somatic mutations per megabase. A dashed red line marks the TMB-high threshold (10 mut/Mb) associated with immunotherapy response.</w:t>
      </w:r>
    </w:p>
    <w:p>
      <w:pPr>
        <w:pStyle w:val="ListBullet"/>
        <w:spacing w:before="20" w:after="40"/>
      </w:pPr>
      <w:r>
        <w:rPr>
          <w:b w:val="0"/>
          <w:i w:val="0"/>
          <w:color w:val="222222"/>
          <w:sz w:val="22"/>
        </w:rPr>
        <w:t>Microsatellite instability (MSI) — insertion/deletion rate at microsatellite regions per megabase. A dashed red line marks the MSI-high threshold (4 indels/Mb).</w:t>
      </w:r>
    </w:p>
    <w:p>
      <w:pPr>
        <w:pStyle w:val="ListBullet"/>
        <w:spacing w:before="20" w:after="40"/>
      </w:pPr>
      <w:r>
        <w:rPr>
          <w:b w:val="0"/>
          <w:i w:val="0"/>
          <w:color w:val="222222"/>
          <w:sz w:val="22"/>
        </w:rPr>
        <w:t>SNVs, INDELs, MNVs per megabase — the decomposition of mutation types by mechanism.</w:t>
      </w:r>
    </w:p>
    <w:p>
      <w:pPr>
        <w:pStyle w:val="Heading2"/>
        <w:spacing w:before="160" w:after="80"/>
      </w:pPr>
      <w:r>
        <w:rPr>
          <w:color w:val="2F5496"/>
        </w:rPr>
        <w:t>6.2  Tumor Purity</w:t>
      </w:r>
    </w:p>
    <w:p>
      <w:pPr>
        <w:spacing w:before="40" w:after="100"/>
      </w:pPr>
      <w:r>
        <w:rPr>
          <w:b w:val="0"/>
          <w:i w:val="0"/>
          <w:color w:val="222222"/>
          <w:sz w:val="22"/>
        </w:rPr>
        <w:t>The estimated fraction of tumour-derived cells in the biopsy, computed from allele frequencies and copy number data. A dashed red line marks the low-purity threshold (20%); samples below this level may have reduced sensitivity for variant detection.</w:t>
      </w:r>
    </w:p>
    <w:p>
      <w:pPr>
        <w:pStyle w:val="Heading2"/>
        <w:spacing w:before="160" w:after="80"/>
      </w:pPr>
      <w:r>
        <w:rPr>
          <w:color w:val="2F5496"/>
        </w:rPr>
        <w:t>6.3  Immune Biology</w:t>
      </w:r>
    </w:p>
    <w:p>
      <w:pPr>
        <w:pStyle w:val="ListBullet"/>
        <w:spacing w:before="20" w:after="40"/>
      </w:pPr>
      <w:r>
        <w:rPr>
          <w:b w:val="0"/>
          <w:i w:val="0"/>
          <w:color w:val="222222"/>
          <w:sz w:val="22"/>
        </w:rPr>
        <w:t>CDR3 T-cell sequences — the count of unique T-cell receptor CDR3 sequences, reflecting T-cell diversity and infiltration. A dashed red line marks the high-infiltration threshold (20 sequences).</w:t>
      </w:r>
    </w:p>
    <w:p>
      <w:pPr>
        <w:pStyle w:val="ListBullet"/>
        <w:spacing w:before="20" w:after="40"/>
      </w:pPr>
      <w:r>
        <w:rPr>
          <w:b w:val="0"/>
          <w:i w:val="0"/>
          <w:color w:val="222222"/>
          <w:sz w:val="22"/>
        </w:rPr>
        <w:t>CDR3 B-cell sequences — B-cell receptor CDR3 diversity.</w:t>
      </w:r>
    </w:p>
    <w:p>
      <w:pPr>
        <w:pStyle w:val="ListBullet"/>
        <w:spacing w:before="20" w:after="40"/>
      </w:pPr>
      <w:r>
        <w:rPr>
          <w:b w:val="0"/>
          <w:i w:val="0"/>
          <w:color w:val="222222"/>
          <w:sz w:val="22"/>
        </w:rPr>
        <w:t>Telomere ratio — the ratio of somatic to germline telomere length. Values below 1 indicate tumour-associated telomere shortening.</w:t>
      </w:r>
    </w:p>
    <w:p>
      <w:pPr>
        <w:pStyle w:val="Heading2"/>
        <w:spacing w:before="160" w:after="80"/>
      </w:pPr>
      <w:r>
        <w:rPr>
          <w:color w:val="2F5496"/>
        </w:rPr>
        <w:t>6.4  Structural Variants</w:t>
      </w:r>
    </w:p>
    <w:p>
      <w:pPr>
        <w:spacing w:before="40" w:after="100"/>
      </w:pPr>
      <w:r>
        <w:rPr>
          <w:b w:val="0"/>
          <w:i w:val="0"/>
          <w:color w:val="222222"/>
          <w:sz w:val="22"/>
        </w:rPr>
        <w:t>The burden and type distribution of structural variant (SV) events — large-scale genomic rearrangements that can disrupt or amplify cancer genes. Metrics shown: total SV burden (dashed red line at 300), deletions, duplications, inversions, translocations, fold-back inversions, complex rearrangement clusters, and mobile element (LINE) insertions.</w:t>
      </w:r>
    </w:p>
    <w:p>
      <w:pPr>
        <w:pStyle w:val="Heading1"/>
        <w:spacing w:before="280" w:after="80"/>
      </w:pPr>
      <w:r>
        <w:rPr>
          <w:color w:val="2F5496"/>
        </w:rPr>
        <w:t>7. Copy Number Alteration Profile</w:t>
      </w:r>
    </w:p>
    <w:p>
      <w:pPr>
        <w:spacing w:before="40" w:after="100"/>
      </w:pPr>
      <w:r>
        <w:rPr>
          <w:b w:val="0"/>
          <w:i w:val="0"/>
          <w:color w:val="222222"/>
          <w:sz w:val="22"/>
        </w:rPr>
        <w:t>A genome-wide circular ring plot displaying the average copy number alteration profile across all test cohort patients. The human genome is arranged around the circle with chromosomes as segments. Ring layers from inner to outer reflect increasing severity of alteration:</w:t>
      </w:r>
    </w:p>
    <w:p>
      <w:pPr>
        <w:pStyle w:val="ListBullet"/>
        <w:spacing w:before="20" w:after="40"/>
      </w:pPr>
      <w:r>
        <w:rPr>
          <w:b w:val="0"/>
          <w:i w:val="0"/>
          <w:color w:val="222222"/>
          <w:sz w:val="22"/>
        </w:rPr>
        <w:t>Homozygous deletion — complete loss of both gene copies (dark blue).</w:t>
      </w:r>
    </w:p>
    <w:p>
      <w:pPr>
        <w:pStyle w:val="ListBullet"/>
        <w:spacing w:before="20" w:after="40"/>
      </w:pPr>
      <w:r>
        <w:rPr>
          <w:b w:val="0"/>
          <w:i w:val="0"/>
          <w:color w:val="222222"/>
          <w:sz w:val="22"/>
        </w:rPr>
        <w:t>LOH with significant loss — loss of one copy with the remaining copy markedly reduced (blue).</w:t>
      </w:r>
    </w:p>
    <w:p>
      <w:pPr>
        <w:pStyle w:val="ListBullet"/>
        <w:spacing w:before="20" w:after="40"/>
      </w:pPr>
      <w:r>
        <w:rPr>
          <w:b w:val="0"/>
          <w:i w:val="0"/>
          <w:color w:val="222222"/>
          <w:sz w:val="22"/>
        </w:rPr>
        <w:t>Near copy-neutral LOH — loss of heterozygosity without substantial copy number change (light blue).</w:t>
      </w:r>
    </w:p>
    <w:p>
      <w:pPr>
        <w:pStyle w:val="ListBullet"/>
        <w:spacing w:before="20" w:after="40"/>
      </w:pPr>
      <w:r>
        <w:rPr>
          <w:b w:val="0"/>
          <w:i w:val="0"/>
          <w:color w:val="222222"/>
          <w:sz w:val="22"/>
        </w:rPr>
        <w:t>Low amplification — copy number modestly exceeding tumour ploidy (light red).</w:t>
      </w:r>
    </w:p>
    <w:p>
      <w:pPr>
        <w:pStyle w:val="ListBullet"/>
        <w:spacing w:before="20" w:after="40"/>
      </w:pPr>
      <w:r>
        <w:rPr>
          <w:b w:val="0"/>
          <w:i w:val="0"/>
          <w:color w:val="222222"/>
          <w:sz w:val="22"/>
        </w:rPr>
        <w:t>Moderate amplification — copy number approximately double ploidy (red).</w:t>
      </w:r>
    </w:p>
    <w:p>
      <w:pPr>
        <w:pStyle w:val="ListBullet"/>
        <w:spacing w:before="20" w:after="40"/>
      </w:pPr>
      <w:r>
        <w:rPr>
          <w:b w:val="0"/>
          <w:i w:val="0"/>
          <w:color w:val="222222"/>
          <w:sz w:val="22"/>
        </w:rPr>
        <w:t>High amplification — copy number more than three times ploidy (dark red).</w:t>
      </w:r>
    </w:p>
    <w:p>
      <w:pPr>
        <w:spacing w:before="0" w:after="0"/>
      </w:pPr>
    </w:p>
    <w:p>
      <w:pPr>
        <w:spacing w:before="40" w:after="100"/>
      </w:pPr>
      <w:r>
        <w:rPr>
          <w:b w:val="0"/>
          <w:i w:val="0"/>
          <w:color w:val="222222"/>
          <w:sz w:val="22"/>
        </w:rPr>
        <w:t>Driver gene labels are overlaid at the chromosomal positions of the most frequent amplification and deletion events in the cohort, restricted to genes altered in more than one patient.</w:t>
      </w:r>
    </w:p>
    <w:p>
      <w:pPr>
        <w:pStyle w:val="Heading1"/>
        <w:spacing w:before="280" w:after="80"/>
      </w:pPr>
      <w:r>
        <w:rPr>
          <w:color w:val="2F5496"/>
        </w:rPr>
        <w:t>8. Cancer Driver Landscape</w:t>
      </w:r>
    </w:p>
    <w:p>
      <w:pPr>
        <w:spacing w:before="40" w:after="100"/>
      </w:pPr>
      <w:r>
        <w:rPr>
          <w:b w:val="0"/>
          <w:i w:val="0"/>
          <w:color w:val="222222"/>
          <w:sz w:val="22"/>
        </w:rPr>
        <w:t>An oncoplot (matrix heatmap) showing the most frequently altered cancer driver genes across individual patient samples in the test cohort. Each row is a gene, each column is a patient, and colour indicates the type of driver alteration. Genes are ranked by their frequency of alteration in the test cohort. A companion label panel shows, for each gene, the percentage of test and reference cohort patients affected, the gene role (oncogene or tumour suppressor), and the biological pathway.</w:t>
      </w:r>
    </w:p>
    <w:p>
      <w:pPr>
        <w:pStyle w:val="Heading2"/>
        <w:spacing w:before="160" w:after="80"/>
      </w:pPr>
      <w:r>
        <w:rPr>
          <w:color w:val="2F5496"/>
        </w:rPr>
        <w:t>8.1  Driver event types</w:t>
      </w:r>
    </w:p>
    <w:p>
      <w:pPr>
        <w:spacing w:before="0" w:after="0"/>
      </w:pPr>
    </w:p>
    <w:tbl>
      <w:tblPr>
        <w:tblStyle w:val="TableGrid"/>
        <w:tblW w:type="auto" w:w="0"/>
        <w:jc w:val="left"/>
        <w:tblLook w:firstColumn="1" w:firstRow="1" w:lastColumn="0" w:lastRow="0" w:noHBand="0" w:noVBand="1" w:val="04A0"/>
      </w:tblPr>
      <w:tblGrid>
        <w:gridCol w:w="3135"/>
        <w:gridCol w:w="3135"/>
        <w:gridCol w:w="3135"/>
      </w:tblGrid>
      <w:tr>
        <w:tc>
          <w:tcPr>
            <w:tcW w:type="dxa" w:w="2016"/>
            <w:shd w:val="clear" w:color="auto" w:fill="2F5496"/>
          </w:tcPr>
          <w:p>
            <w:r>
              <w:rPr>
                <w:b/>
                <w:i w:val="0"/>
                <w:color w:val="FFFFFF"/>
                <w:sz w:val="18"/>
              </w:rPr>
              <w:t>Event type</w:t>
            </w:r>
          </w:p>
        </w:tc>
        <w:tc>
          <w:tcPr>
            <w:tcW w:type="dxa" w:w="1296"/>
            <w:shd w:val="clear" w:color="auto" w:fill="2F5496"/>
          </w:tcPr>
          <w:p>
            <w:r>
              <w:rPr>
                <w:b/>
                <w:i w:val="0"/>
                <w:color w:val="FFFFFF"/>
                <w:sz w:val="18"/>
              </w:rPr>
              <w:t>Colour</w:t>
            </w:r>
          </w:p>
        </w:tc>
        <w:tc>
          <w:tcPr>
            <w:tcW w:type="dxa" w:w="5328"/>
            <w:shd w:val="clear" w:color="auto" w:fill="2F5496"/>
          </w:tcPr>
          <w:p>
            <w:r>
              <w:rPr>
                <w:b/>
                <w:i w:val="0"/>
                <w:color w:val="FFFFFF"/>
                <w:sz w:val="18"/>
              </w:rPr>
              <w:t>Description</w:t>
            </w:r>
          </w:p>
        </w:tc>
      </w:tr>
      <w:tr>
        <w:tc>
          <w:tcPr>
            <w:tcW w:type="dxa" w:w="2016"/>
            <w:shd w:val="clear" w:color="auto" w:fill="FFFFFF"/>
          </w:tcPr>
          <w:p>
            <w:r>
              <w:rPr>
                <w:b w:val="0"/>
                <w:i w:val="0"/>
                <w:color w:val="222222"/>
                <w:sz w:val="18"/>
              </w:rPr>
              <w:t>Amplification</w:t>
            </w:r>
          </w:p>
        </w:tc>
        <w:tc>
          <w:tcPr>
            <w:tcW w:type="dxa" w:w="1296"/>
            <w:shd w:val="clear" w:color="auto" w:fill="FFFFFF"/>
          </w:tcPr>
          <w:p>
            <w:r>
              <w:rPr>
                <w:b w:val="0"/>
                <w:i w:val="0"/>
                <w:color w:val="222222"/>
                <w:sz w:val="18"/>
              </w:rPr>
              <w:t>Dark red</w:t>
            </w:r>
          </w:p>
        </w:tc>
        <w:tc>
          <w:tcPr>
            <w:tcW w:type="dxa" w:w="5328"/>
            <w:shd w:val="clear" w:color="auto" w:fill="FFFFFF"/>
          </w:tcPr>
          <w:p>
            <w:r>
              <w:rPr>
                <w:b w:val="0"/>
                <w:i w:val="0"/>
                <w:color w:val="222222"/>
                <w:sz w:val="18"/>
              </w:rPr>
              <w:t>High-level copy number gain of the gene locus.</w:t>
            </w:r>
          </w:p>
        </w:tc>
      </w:tr>
      <w:tr>
        <w:tc>
          <w:tcPr>
            <w:tcW w:type="dxa" w:w="2016"/>
            <w:shd w:val="clear" w:color="auto" w:fill="EEF2FF"/>
          </w:tcPr>
          <w:p>
            <w:r>
              <w:rPr>
                <w:b w:val="0"/>
                <w:i w:val="0"/>
                <w:color w:val="222222"/>
                <w:sz w:val="18"/>
              </w:rPr>
              <w:t>Deletion</w:t>
            </w:r>
          </w:p>
        </w:tc>
        <w:tc>
          <w:tcPr>
            <w:tcW w:type="dxa" w:w="1296"/>
            <w:shd w:val="clear" w:color="auto" w:fill="EEF2FF"/>
          </w:tcPr>
          <w:p>
            <w:r>
              <w:rPr>
                <w:b w:val="0"/>
                <w:i w:val="0"/>
                <w:color w:val="222222"/>
                <w:sz w:val="18"/>
              </w:rPr>
              <w:t>Dark blue</w:t>
            </w:r>
          </w:p>
        </w:tc>
        <w:tc>
          <w:tcPr>
            <w:tcW w:type="dxa" w:w="5328"/>
            <w:shd w:val="clear" w:color="auto" w:fill="EEF2FF"/>
          </w:tcPr>
          <w:p>
            <w:r>
              <w:rPr>
                <w:b w:val="0"/>
                <w:i w:val="0"/>
                <w:color w:val="222222"/>
                <w:sz w:val="18"/>
              </w:rPr>
              <w:t>Homozygous deletion — complete loss of both copies of the gene.</w:t>
            </w:r>
          </w:p>
        </w:tc>
      </w:tr>
      <w:tr>
        <w:tc>
          <w:tcPr>
            <w:tcW w:type="dxa" w:w="2016"/>
            <w:shd w:val="clear" w:color="auto" w:fill="FFFFFF"/>
          </w:tcPr>
          <w:p>
            <w:r>
              <w:rPr>
                <w:b w:val="0"/>
                <w:i w:val="0"/>
                <w:color w:val="222222"/>
                <w:sz w:val="18"/>
              </w:rPr>
              <w:t>Mutation</w:t>
            </w:r>
          </w:p>
        </w:tc>
        <w:tc>
          <w:tcPr>
            <w:tcW w:type="dxa" w:w="1296"/>
            <w:shd w:val="clear" w:color="auto" w:fill="FFFFFF"/>
          </w:tcPr>
          <w:p>
            <w:r>
              <w:rPr>
                <w:b w:val="0"/>
                <w:i w:val="0"/>
                <w:color w:val="222222"/>
                <w:sz w:val="18"/>
              </w:rPr>
              <w:t>Orange</w:t>
            </w:r>
          </w:p>
        </w:tc>
        <w:tc>
          <w:tcPr>
            <w:tcW w:type="dxa" w:w="5328"/>
            <w:shd w:val="clear" w:color="auto" w:fill="FFFFFF"/>
          </w:tcPr>
          <w:p>
            <w:r>
              <w:rPr>
                <w:b w:val="0"/>
                <w:i w:val="0"/>
                <w:color w:val="222222"/>
                <w:sz w:val="18"/>
              </w:rPr>
              <w:t>Somatic point mutation or small insertion/deletion within the gene.</w:t>
            </w:r>
          </w:p>
        </w:tc>
      </w:tr>
      <w:tr>
        <w:tc>
          <w:tcPr>
            <w:tcW w:type="dxa" w:w="2016"/>
            <w:shd w:val="clear" w:color="auto" w:fill="EEF2FF"/>
          </w:tcPr>
          <w:p>
            <w:r>
              <w:rPr>
                <w:b w:val="0"/>
                <w:i w:val="0"/>
                <w:color w:val="222222"/>
                <w:sz w:val="18"/>
              </w:rPr>
              <w:t>Disruption</w:t>
            </w:r>
          </w:p>
        </w:tc>
        <w:tc>
          <w:tcPr>
            <w:tcW w:type="dxa" w:w="1296"/>
            <w:shd w:val="clear" w:color="auto" w:fill="EEF2FF"/>
          </w:tcPr>
          <w:p>
            <w:r>
              <w:rPr>
                <w:b w:val="0"/>
                <w:i w:val="0"/>
                <w:color w:val="222222"/>
                <w:sz w:val="18"/>
              </w:rPr>
              <w:t>Yellow</w:t>
            </w:r>
          </w:p>
        </w:tc>
        <w:tc>
          <w:tcPr>
            <w:tcW w:type="dxa" w:w="5328"/>
            <w:shd w:val="clear" w:color="auto" w:fill="EEF2FF"/>
          </w:tcPr>
          <w:p>
            <w:r>
              <w:rPr>
                <w:b w:val="0"/>
                <w:i w:val="0"/>
                <w:color w:val="222222"/>
                <w:sz w:val="18"/>
              </w:rPr>
              <w:t>Structural rearrangement causing gene disruption.</w:t>
            </w:r>
          </w:p>
        </w:tc>
      </w:tr>
      <w:tr>
        <w:tc>
          <w:tcPr>
            <w:tcW w:type="dxa" w:w="2016"/>
            <w:shd w:val="clear" w:color="auto" w:fill="FFFFFF"/>
          </w:tcPr>
          <w:p>
            <w:r>
              <w:rPr>
                <w:b w:val="0"/>
                <w:i w:val="0"/>
                <w:color w:val="222222"/>
                <w:sz w:val="18"/>
              </w:rPr>
              <w:t>Fusion</w:t>
            </w:r>
          </w:p>
        </w:tc>
        <w:tc>
          <w:tcPr>
            <w:tcW w:type="dxa" w:w="1296"/>
            <w:shd w:val="clear" w:color="auto" w:fill="FFFFFF"/>
          </w:tcPr>
          <w:p>
            <w:r>
              <w:rPr>
                <w:b w:val="0"/>
                <w:i w:val="0"/>
                <w:color w:val="222222"/>
                <w:sz w:val="18"/>
              </w:rPr>
              <w:t>Blue</w:t>
            </w:r>
          </w:p>
        </w:tc>
        <w:tc>
          <w:tcPr>
            <w:tcW w:type="dxa" w:w="5328"/>
            <w:shd w:val="clear" w:color="auto" w:fill="FFFFFF"/>
          </w:tcPr>
          <w:p>
            <w:r>
              <w:rPr>
                <w:b w:val="0"/>
                <w:i w:val="0"/>
                <w:color w:val="222222"/>
                <w:sz w:val="18"/>
              </w:rPr>
              <w:t>Gene fusion event creating an oncogenic chimeric protein.</w:t>
            </w:r>
          </w:p>
        </w:tc>
      </w:tr>
      <w:tr>
        <w:tc>
          <w:tcPr>
            <w:tcW w:type="dxa" w:w="2016"/>
            <w:shd w:val="clear" w:color="auto" w:fill="EEF2FF"/>
          </w:tcPr>
          <w:p>
            <w:r>
              <w:rPr>
                <w:b w:val="0"/>
                <w:i w:val="0"/>
                <w:color w:val="222222"/>
                <w:sz w:val="18"/>
              </w:rPr>
              <w:t>Viral insertion</w:t>
            </w:r>
          </w:p>
        </w:tc>
        <w:tc>
          <w:tcPr>
            <w:tcW w:type="dxa" w:w="1296"/>
            <w:shd w:val="clear" w:color="auto" w:fill="EEF2FF"/>
          </w:tcPr>
          <w:p>
            <w:r>
              <w:rPr>
                <w:b w:val="0"/>
                <w:i w:val="0"/>
                <w:color w:val="222222"/>
                <w:sz w:val="18"/>
              </w:rPr>
              <w:t>Green</w:t>
            </w:r>
          </w:p>
        </w:tc>
        <w:tc>
          <w:tcPr>
            <w:tcW w:type="dxa" w:w="5328"/>
            <w:shd w:val="clear" w:color="auto" w:fill="EEF2FF"/>
          </w:tcPr>
          <w:p>
            <w:r>
              <w:rPr>
                <w:b w:val="0"/>
                <w:i w:val="0"/>
                <w:color w:val="222222"/>
                <w:sz w:val="18"/>
              </w:rPr>
              <w:t>Integration of a viral sequence into or near the gene locus.</w:t>
            </w:r>
          </w:p>
        </w:tc>
      </w:tr>
      <w:tr>
        <w:tc>
          <w:tcPr>
            <w:tcW w:type="dxa" w:w="2016"/>
            <w:shd w:val="clear" w:color="auto" w:fill="FFFFFF"/>
          </w:tcPr>
          <w:p>
            <w:r>
              <w:rPr>
                <w:b w:val="0"/>
                <w:i w:val="0"/>
                <w:color w:val="222222"/>
                <w:sz w:val="18"/>
              </w:rPr>
              <w:t>ecDNA amplification</w:t>
            </w:r>
          </w:p>
        </w:tc>
        <w:tc>
          <w:tcPr>
            <w:tcW w:type="dxa" w:w="1296"/>
            <w:shd w:val="clear" w:color="auto" w:fill="FFFFFF"/>
          </w:tcPr>
          <w:p>
            <w:r>
              <w:rPr>
                <w:b w:val="0"/>
                <w:i w:val="0"/>
                <w:color w:val="222222"/>
                <w:sz w:val="18"/>
              </w:rPr>
              <w:t>Purple</w:t>
            </w:r>
          </w:p>
        </w:tc>
        <w:tc>
          <w:tcPr>
            <w:tcW w:type="dxa" w:w="5328"/>
            <w:shd w:val="clear" w:color="auto" w:fill="FFFFFF"/>
          </w:tcPr>
          <w:p>
            <w:r>
              <w:rPr>
                <w:b w:val="0"/>
                <w:i w:val="0"/>
                <w:color w:val="222222"/>
                <w:sz w:val="18"/>
              </w:rPr>
              <w:t>Extrachromosomal DNA amplification of the gene.</w:t>
            </w:r>
          </w:p>
        </w:tc>
      </w:tr>
    </w:tbl>
    <w:p>
      <w:pPr>
        <w:spacing w:before="0" w:after="0"/>
      </w:pPr>
    </w:p>
    <w:p>
      <w:pPr>
        <w:pStyle w:val="Heading2"/>
        <w:spacing w:before="160" w:after="80"/>
      </w:pPr>
      <w:r>
        <w:rPr>
          <w:color w:val="2F5496"/>
        </w:rPr>
        <w:t>8.2  Biological pathways</w:t>
      </w:r>
    </w:p>
    <w:p>
      <w:pPr>
        <w:spacing w:before="40" w:after="100"/>
      </w:pPr>
      <w:r>
        <w:rPr>
          <w:b w:val="0"/>
          <w:i w:val="0"/>
          <w:color w:val="222222"/>
          <w:sz w:val="22"/>
        </w:rPr>
        <w:t>Each driver gene is assigned to a biological pathway based on its annotated function. Pathway abbreviations used in the label panel:</w:t>
      </w:r>
    </w:p>
    <w:p>
      <w:pPr>
        <w:spacing w:before="0" w:after="0"/>
      </w:pP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2F5496"/>
          </w:tcPr>
          <w:p>
            <w:r>
              <w:rPr>
                <w:b/>
                <w:i w:val="0"/>
                <w:color w:val="FFFFFF"/>
                <w:sz w:val="18"/>
              </w:rPr>
              <w:t>Abbreviation</w:t>
            </w:r>
          </w:p>
        </w:tc>
        <w:tc>
          <w:tcPr>
            <w:tcW w:type="dxa" w:w="2304"/>
            <w:shd w:val="clear" w:color="auto" w:fill="2F5496"/>
          </w:tcPr>
          <w:p>
            <w:r>
              <w:rPr>
                <w:b/>
                <w:i w:val="0"/>
                <w:color w:val="FFFFFF"/>
                <w:sz w:val="18"/>
              </w:rPr>
              <w:t>Pathway</w:t>
            </w:r>
          </w:p>
        </w:tc>
        <w:tc>
          <w:tcPr>
            <w:tcW w:type="dxa" w:w="5328"/>
            <w:shd w:val="clear" w:color="auto" w:fill="2F5496"/>
          </w:tcPr>
          <w:p>
            <w:r>
              <w:rPr>
                <w:b/>
                <w:i w:val="0"/>
                <w:color w:val="FFFFFF"/>
                <w:sz w:val="18"/>
              </w:rPr>
              <w:t>Key genes (examples)</w:t>
            </w:r>
          </w:p>
        </w:tc>
      </w:tr>
      <w:tr>
        <w:tc>
          <w:tcPr>
            <w:tcW w:type="dxa" w:w="1008"/>
            <w:shd w:val="clear" w:color="auto" w:fill="FFFFFF"/>
          </w:tcPr>
          <w:p>
            <w:r>
              <w:rPr>
                <w:b w:val="0"/>
                <w:i w:val="0"/>
                <w:color w:val="222222"/>
                <w:sz w:val="18"/>
              </w:rPr>
              <w:t>DDR</w:t>
            </w:r>
          </w:p>
        </w:tc>
        <w:tc>
          <w:tcPr>
            <w:tcW w:type="dxa" w:w="2304"/>
            <w:shd w:val="clear" w:color="auto" w:fill="FFFFFF"/>
          </w:tcPr>
          <w:p>
            <w:r>
              <w:rPr>
                <w:b w:val="0"/>
                <w:i w:val="0"/>
                <w:color w:val="222222"/>
                <w:sz w:val="18"/>
              </w:rPr>
              <w:t>DNA damage repair</w:t>
            </w:r>
          </w:p>
        </w:tc>
        <w:tc>
          <w:tcPr>
            <w:tcW w:type="dxa" w:w="5328"/>
            <w:shd w:val="clear" w:color="auto" w:fill="FFFFFF"/>
          </w:tcPr>
          <w:p>
            <w:r>
              <w:rPr>
                <w:b w:val="0"/>
                <w:i w:val="0"/>
                <w:color w:val="222222"/>
                <w:sz w:val="18"/>
              </w:rPr>
              <w:t>BRCA1, BRCA2, ATM, PALB2, RAD51, CDK12</w:t>
            </w:r>
          </w:p>
        </w:tc>
      </w:tr>
      <w:tr>
        <w:tc>
          <w:tcPr>
            <w:tcW w:type="dxa" w:w="1008"/>
            <w:shd w:val="clear" w:color="auto" w:fill="EEF2FF"/>
          </w:tcPr>
          <w:p>
            <w:r>
              <w:rPr>
                <w:b w:val="0"/>
                <w:i w:val="0"/>
                <w:color w:val="222222"/>
                <w:sz w:val="18"/>
              </w:rPr>
              <w:t>CC</w:t>
            </w:r>
          </w:p>
        </w:tc>
        <w:tc>
          <w:tcPr>
            <w:tcW w:type="dxa" w:w="2304"/>
            <w:shd w:val="clear" w:color="auto" w:fill="EEF2FF"/>
          </w:tcPr>
          <w:p>
            <w:r>
              <w:rPr>
                <w:b w:val="0"/>
                <w:i w:val="0"/>
                <w:color w:val="222222"/>
                <w:sz w:val="18"/>
              </w:rPr>
              <w:t>Cell cycle</w:t>
            </w:r>
          </w:p>
        </w:tc>
        <w:tc>
          <w:tcPr>
            <w:tcW w:type="dxa" w:w="5328"/>
            <w:shd w:val="clear" w:color="auto" w:fill="EEF2FF"/>
          </w:tcPr>
          <w:p>
            <w:r>
              <w:rPr>
                <w:b w:val="0"/>
                <w:i w:val="0"/>
                <w:color w:val="222222"/>
                <w:sz w:val="18"/>
              </w:rPr>
              <w:t>RB1, CDKN2A, CCND1, CDK4, CDK6</w:t>
            </w:r>
          </w:p>
        </w:tc>
      </w:tr>
      <w:tr>
        <w:tc>
          <w:tcPr>
            <w:tcW w:type="dxa" w:w="1008"/>
            <w:shd w:val="clear" w:color="auto" w:fill="FFFFFF"/>
          </w:tcPr>
          <w:p>
            <w:r>
              <w:rPr>
                <w:b w:val="0"/>
                <w:i w:val="0"/>
                <w:color w:val="222222"/>
                <w:sz w:val="18"/>
              </w:rPr>
              <w:t>WNT</w:t>
            </w:r>
          </w:p>
        </w:tc>
        <w:tc>
          <w:tcPr>
            <w:tcW w:type="dxa" w:w="2304"/>
            <w:shd w:val="clear" w:color="auto" w:fill="FFFFFF"/>
          </w:tcPr>
          <w:p>
            <w:r>
              <w:rPr>
                <w:b w:val="0"/>
                <w:i w:val="0"/>
                <w:color w:val="222222"/>
                <w:sz w:val="18"/>
              </w:rPr>
              <w:t>WNT signalling</w:t>
            </w:r>
          </w:p>
        </w:tc>
        <w:tc>
          <w:tcPr>
            <w:tcW w:type="dxa" w:w="5328"/>
            <w:shd w:val="clear" w:color="auto" w:fill="FFFFFF"/>
          </w:tcPr>
          <w:p>
            <w:r>
              <w:rPr>
                <w:b w:val="0"/>
                <w:i w:val="0"/>
                <w:color w:val="222222"/>
                <w:sz w:val="18"/>
              </w:rPr>
              <w:t>APC, CTNNB1, RNF43, RSPO2</w:t>
            </w:r>
          </w:p>
        </w:tc>
      </w:tr>
      <w:tr>
        <w:tc>
          <w:tcPr>
            <w:tcW w:type="dxa" w:w="1008"/>
            <w:shd w:val="clear" w:color="auto" w:fill="EEF2FF"/>
          </w:tcPr>
          <w:p>
            <w:r>
              <w:rPr>
                <w:b w:val="0"/>
                <w:i w:val="0"/>
                <w:color w:val="222222"/>
                <w:sz w:val="18"/>
              </w:rPr>
              <w:t>EPI</w:t>
            </w:r>
          </w:p>
        </w:tc>
        <w:tc>
          <w:tcPr>
            <w:tcW w:type="dxa" w:w="2304"/>
            <w:shd w:val="clear" w:color="auto" w:fill="EEF2FF"/>
          </w:tcPr>
          <w:p>
            <w:r>
              <w:rPr>
                <w:b w:val="0"/>
                <w:i w:val="0"/>
                <w:color w:val="222222"/>
                <w:sz w:val="18"/>
              </w:rPr>
              <w:t>Epigenetic regulation</w:t>
            </w:r>
          </w:p>
        </w:tc>
        <w:tc>
          <w:tcPr>
            <w:tcW w:type="dxa" w:w="5328"/>
            <w:shd w:val="clear" w:color="auto" w:fill="EEF2FF"/>
          </w:tcPr>
          <w:p>
            <w:r>
              <w:rPr>
                <w:b w:val="0"/>
                <w:i w:val="0"/>
                <w:color w:val="222222"/>
                <w:sz w:val="18"/>
              </w:rPr>
              <w:t>ARID1A, KMT2D, DNMT3A, EZH2, SETD2</w:t>
            </w:r>
          </w:p>
        </w:tc>
      </w:tr>
      <w:tr>
        <w:tc>
          <w:tcPr>
            <w:tcW w:type="dxa" w:w="1008"/>
            <w:shd w:val="clear" w:color="auto" w:fill="FFFFFF"/>
          </w:tcPr>
          <w:p>
            <w:r>
              <w:rPr>
                <w:b w:val="0"/>
                <w:i w:val="0"/>
                <w:color w:val="222222"/>
                <w:sz w:val="18"/>
              </w:rPr>
              <w:t>PI3K</w:t>
            </w:r>
          </w:p>
        </w:tc>
        <w:tc>
          <w:tcPr>
            <w:tcW w:type="dxa" w:w="2304"/>
            <w:shd w:val="clear" w:color="auto" w:fill="FFFFFF"/>
          </w:tcPr>
          <w:p>
            <w:r>
              <w:rPr>
                <w:b w:val="0"/>
                <w:i w:val="0"/>
                <w:color w:val="222222"/>
                <w:sz w:val="18"/>
              </w:rPr>
              <w:t>PI3K/AKT/mTOR</w:t>
            </w:r>
          </w:p>
        </w:tc>
        <w:tc>
          <w:tcPr>
            <w:tcW w:type="dxa" w:w="5328"/>
            <w:shd w:val="clear" w:color="auto" w:fill="FFFFFF"/>
          </w:tcPr>
          <w:p>
            <w:r>
              <w:rPr>
                <w:b w:val="0"/>
                <w:i w:val="0"/>
                <w:color w:val="222222"/>
                <w:sz w:val="18"/>
              </w:rPr>
              <w:t>PIK3CA, PTEN, AKT1, MTOR, TSC1, TSC2</w:t>
            </w:r>
          </w:p>
        </w:tc>
      </w:tr>
      <w:tr>
        <w:tc>
          <w:tcPr>
            <w:tcW w:type="dxa" w:w="1008"/>
            <w:shd w:val="clear" w:color="auto" w:fill="EEF2FF"/>
          </w:tcPr>
          <w:p>
            <w:r>
              <w:rPr>
                <w:b w:val="0"/>
                <w:i w:val="0"/>
                <w:color w:val="222222"/>
                <w:sz w:val="18"/>
              </w:rPr>
              <w:t>RTK</w:t>
            </w:r>
          </w:p>
        </w:tc>
        <w:tc>
          <w:tcPr>
            <w:tcW w:type="dxa" w:w="2304"/>
            <w:shd w:val="clear" w:color="auto" w:fill="EEF2FF"/>
          </w:tcPr>
          <w:p>
            <w:r>
              <w:rPr>
                <w:b w:val="0"/>
                <w:i w:val="0"/>
                <w:color w:val="222222"/>
                <w:sz w:val="18"/>
              </w:rPr>
              <w:t>Receptor tyrosine kinase</w:t>
            </w:r>
          </w:p>
        </w:tc>
        <w:tc>
          <w:tcPr>
            <w:tcW w:type="dxa" w:w="5328"/>
            <w:shd w:val="clear" w:color="auto" w:fill="EEF2FF"/>
          </w:tcPr>
          <w:p>
            <w:r>
              <w:rPr>
                <w:b w:val="0"/>
                <w:i w:val="0"/>
                <w:color w:val="222222"/>
                <w:sz w:val="18"/>
              </w:rPr>
              <w:t>ERBB2, MET, FGFR1-4, KIT, RET, EGFR</w:t>
            </w:r>
          </w:p>
        </w:tc>
      </w:tr>
      <w:tr>
        <w:tc>
          <w:tcPr>
            <w:tcW w:type="dxa" w:w="1008"/>
            <w:shd w:val="clear" w:color="auto" w:fill="FFFFFF"/>
          </w:tcPr>
          <w:p>
            <w:r>
              <w:rPr>
                <w:b w:val="0"/>
                <w:i w:val="0"/>
                <w:color w:val="222222"/>
                <w:sz w:val="18"/>
              </w:rPr>
              <w:t>APO</w:t>
            </w:r>
          </w:p>
        </w:tc>
        <w:tc>
          <w:tcPr>
            <w:tcW w:type="dxa" w:w="2304"/>
            <w:shd w:val="clear" w:color="auto" w:fill="FFFFFF"/>
          </w:tcPr>
          <w:p>
            <w:r>
              <w:rPr>
                <w:b w:val="0"/>
                <w:i w:val="0"/>
                <w:color w:val="222222"/>
                <w:sz w:val="18"/>
              </w:rPr>
              <w:t>Apoptosis</w:t>
            </w:r>
          </w:p>
        </w:tc>
        <w:tc>
          <w:tcPr>
            <w:tcW w:type="dxa" w:w="5328"/>
            <w:shd w:val="clear" w:color="auto" w:fill="FFFFFF"/>
          </w:tcPr>
          <w:p>
            <w:r>
              <w:rPr>
                <w:b w:val="0"/>
                <w:i w:val="0"/>
                <w:color w:val="222222"/>
                <w:sz w:val="18"/>
              </w:rPr>
              <w:t>BCL2, MCL1, BAX, BIM</w:t>
            </w:r>
          </w:p>
        </w:tc>
      </w:tr>
      <w:tr>
        <w:tc>
          <w:tcPr>
            <w:tcW w:type="dxa" w:w="1008"/>
            <w:shd w:val="clear" w:color="auto" w:fill="EEF2FF"/>
          </w:tcPr>
          <w:p>
            <w:r>
              <w:rPr>
                <w:b w:val="0"/>
                <w:i w:val="0"/>
                <w:color w:val="222222"/>
                <w:sz w:val="18"/>
              </w:rPr>
              <w:t>ICK</w:t>
            </w:r>
          </w:p>
        </w:tc>
        <w:tc>
          <w:tcPr>
            <w:tcW w:type="dxa" w:w="2304"/>
            <w:shd w:val="clear" w:color="auto" w:fill="EEF2FF"/>
          </w:tcPr>
          <w:p>
            <w:r>
              <w:rPr>
                <w:b w:val="0"/>
                <w:i w:val="0"/>
                <w:color w:val="222222"/>
                <w:sz w:val="18"/>
              </w:rPr>
              <w:t>Immune checkpoint / HLA</w:t>
            </w:r>
          </w:p>
        </w:tc>
        <w:tc>
          <w:tcPr>
            <w:tcW w:type="dxa" w:w="5328"/>
            <w:shd w:val="clear" w:color="auto" w:fill="EEF2FF"/>
          </w:tcPr>
          <w:p>
            <w:r>
              <w:rPr>
                <w:b w:val="0"/>
                <w:i w:val="0"/>
                <w:color w:val="222222"/>
                <w:sz w:val="18"/>
              </w:rPr>
              <w:t>CD274 (PD-L1), PDCD1LG2, B2M, HLA-A, HLA-B, HLA-C</w:t>
            </w:r>
          </w:p>
        </w:tc>
      </w:tr>
      <w:tr>
        <w:tc>
          <w:tcPr>
            <w:tcW w:type="dxa" w:w="1008"/>
            <w:shd w:val="clear" w:color="auto" w:fill="FFFFFF"/>
          </w:tcPr>
          <w:p>
            <w:r>
              <w:rPr>
                <w:b w:val="0"/>
                <w:i w:val="0"/>
                <w:color w:val="222222"/>
                <w:sz w:val="18"/>
              </w:rPr>
              <w:t>p53</w:t>
            </w:r>
          </w:p>
        </w:tc>
        <w:tc>
          <w:tcPr>
            <w:tcW w:type="dxa" w:w="2304"/>
            <w:shd w:val="clear" w:color="auto" w:fill="FFFFFF"/>
          </w:tcPr>
          <w:p>
            <w:r>
              <w:rPr>
                <w:b w:val="0"/>
                <w:i w:val="0"/>
                <w:color w:val="222222"/>
                <w:sz w:val="18"/>
              </w:rPr>
              <w:t>p53 pathway</w:t>
            </w:r>
          </w:p>
        </w:tc>
        <w:tc>
          <w:tcPr>
            <w:tcW w:type="dxa" w:w="5328"/>
            <w:shd w:val="clear" w:color="auto" w:fill="FFFFFF"/>
          </w:tcPr>
          <w:p>
            <w:r>
              <w:rPr>
                <w:b w:val="0"/>
                <w:i w:val="0"/>
                <w:color w:val="222222"/>
                <w:sz w:val="18"/>
              </w:rPr>
              <w:t>TP53, MDM2, MDM4</w:t>
            </w:r>
          </w:p>
        </w:tc>
      </w:tr>
      <w:tr>
        <w:tc>
          <w:tcPr>
            <w:tcW w:type="dxa" w:w="1008"/>
            <w:shd w:val="clear" w:color="auto" w:fill="EEF2FF"/>
          </w:tcPr>
          <w:p>
            <w:r>
              <w:rPr>
                <w:b w:val="0"/>
                <w:i w:val="0"/>
                <w:color w:val="222222"/>
                <w:sz w:val="18"/>
              </w:rPr>
              <w:t>NCH</w:t>
            </w:r>
          </w:p>
        </w:tc>
        <w:tc>
          <w:tcPr>
            <w:tcW w:type="dxa" w:w="2304"/>
            <w:shd w:val="clear" w:color="auto" w:fill="EEF2FF"/>
          </w:tcPr>
          <w:p>
            <w:r>
              <w:rPr>
                <w:b w:val="0"/>
                <w:i w:val="0"/>
                <w:color w:val="222222"/>
                <w:sz w:val="18"/>
              </w:rPr>
              <w:t>Notch signalling</w:t>
            </w:r>
          </w:p>
        </w:tc>
        <w:tc>
          <w:tcPr>
            <w:tcW w:type="dxa" w:w="5328"/>
            <w:shd w:val="clear" w:color="auto" w:fill="EEF2FF"/>
          </w:tcPr>
          <w:p>
            <w:r>
              <w:rPr>
                <w:b w:val="0"/>
                <w:i w:val="0"/>
                <w:color w:val="222222"/>
                <w:sz w:val="18"/>
              </w:rPr>
              <w:t>NOTCH1, NOTCH2, FBXW7, MAML1</w:t>
            </w:r>
          </w:p>
        </w:tc>
      </w:tr>
      <w:tr>
        <w:tc>
          <w:tcPr>
            <w:tcW w:type="dxa" w:w="1008"/>
            <w:shd w:val="clear" w:color="auto" w:fill="FFFFFF"/>
          </w:tcPr>
          <w:p>
            <w:r>
              <w:rPr>
                <w:b w:val="0"/>
                <w:i w:val="0"/>
                <w:color w:val="222222"/>
                <w:sz w:val="18"/>
              </w:rPr>
              <w:t>MYC</w:t>
            </w:r>
          </w:p>
        </w:tc>
        <w:tc>
          <w:tcPr>
            <w:tcW w:type="dxa" w:w="2304"/>
            <w:shd w:val="clear" w:color="auto" w:fill="FFFFFF"/>
          </w:tcPr>
          <w:p>
            <w:r>
              <w:rPr>
                <w:b w:val="0"/>
                <w:i w:val="0"/>
                <w:color w:val="222222"/>
                <w:sz w:val="18"/>
              </w:rPr>
              <w:t>MYC network</w:t>
            </w:r>
          </w:p>
        </w:tc>
        <w:tc>
          <w:tcPr>
            <w:tcW w:type="dxa" w:w="5328"/>
            <w:shd w:val="clear" w:color="auto" w:fill="FFFFFF"/>
          </w:tcPr>
          <w:p>
            <w:r>
              <w:rPr>
                <w:b w:val="0"/>
                <w:i w:val="0"/>
                <w:color w:val="222222"/>
                <w:sz w:val="18"/>
              </w:rPr>
              <w:t>MYC, MYCN, MAX</w:t>
            </w:r>
          </w:p>
        </w:tc>
      </w:tr>
      <w:tr>
        <w:tc>
          <w:tcPr>
            <w:tcW w:type="dxa" w:w="1008"/>
            <w:shd w:val="clear" w:color="auto" w:fill="EEF2FF"/>
          </w:tcPr>
          <w:p>
            <w:r>
              <w:rPr>
                <w:b w:val="0"/>
                <w:i w:val="0"/>
                <w:color w:val="222222"/>
                <w:sz w:val="18"/>
              </w:rPr>
              <w:t>RAS</w:t>
            </w:r>
          </w:p>
        </w:tc>
        <w:tc>
          <w:tcPr>
            <w:tcW w:type="dxa" w:w="2304"/>
            <w:shd w:val="clear" w:color="auto" w:fill="EEF2FF"/>
          </w:tcPr>
          <w:p>
            <w:r>
              <w:rPr>
                <w:b w:val="0"/>
                <w:i w:val="0"/>
                <w:color w:val="222222"/>
                <w:sz w:val="18"/>
              </w:rPr>
              <w:t>RAS/MAPK</w:t>
            </w:r>
          </w:p>
        </w:tc>
        <w:tc>
          <w:tcPr>
            <w:tcW w:type="dxa" w:w="5328"/>
            <w:shd w:val="clear" w:color="auto" w:fill="EEF2FF"/>
          </w:tcPr>
          <w:p>
            <w:r>
              <w:rPr>
                <w:b w:val="0"/>
                <w:i w:val="0"/>
                <w:color w:val="222222"/>
                <w:sz w:val="18"/>
              </w:rPr>
              <w:t>KRAS, NRAS, HRAS, BRAF, NF1, RAF1</w:t>
            </w:r>
          </w:p>
        </w:tc>
      </w:tr>
      <w:tr>
        <w:tc>
          <w:tcPr>
            <w:tcW w:type="dxa" w:w="1008"/>
            <w:shd w:val="clear" w:color="auto" w:fill="FFFFFF"/>
          </w:tcPr>
          <w:p>
            <w:r>
              <w:rPr>
                <w:b w:val="0"/>
                <w:i w:val="0"/>
                <w:color w:val="222222"/>
                <w:sz w:val="18"/>
              </w:rPr>
              <w:t>TGFB</w:t>
            </w:r>
          </w:p>
        </w:tc>
        <w:tc>
          <w:tcPr>
            <w:tcW w:type="dxa" w:w="2304"/>
            <w:shd w:val="clear" w:color="auto" w:fill="FFFFFF"/>
          </w:tcPr>
          <w:p>
            <w:r>
              <w:rPr>
                <w:b w:val="0"/>
                <w:i w:val="0"/>
                <w:color w:val="222222"/>
                <w:sz w:val="18"/>
              </w:rPr>
              <w:t>TGF-beta signalling</w:t>
            </w:r>
          </w:p>
        </w:tc>
        <w:tc>
          <w:tcPr>
            <w:tcW w:type="dxa" w:w="5328"/>
            <w:shd w:val="clear" w:color="auto" w:fill="FFFFFF"/>
          </w:tcPr>
          <w:p>
            <w:r>
              <w:rPr>
                <w:b w:val="0"/>
                <w:i w:val="0"/>
                <w:color w:val="222222"/>
                <w:sz w:val="18"/>
              </w:rPr>
              <w:t>SMAD2, SMAD4, TGFBR1, TGFBR2, ACVR1B</w:t>
            </w:r>
          </w:p>
        </w:tc>
      </w:tr>
      <w:tr>
        <w:tc>
          <w:tcPr>
            <w:tcW w:type="dxa" w:w="1008"/>
            <w:shd w:val="clear" w:color="auto" w:fill="EEF2FF"/>
          </w:tcPr>
          <w:p>
            <w:r>
              <w:rPr>
                <w:b w:val="0"/>
                <w:i w:val="0"/>
                <w:color w:val="222222"/>
                <w:sz w:val="18"/>
              </w:rPr>
              <w:t>HIP</w:t>
            </w:r>
          </w:p>
        </w:tc>
        <w:tc>
          <w:tcPr>
            <w:tcW w:type="dxa" w:w="2304"/>
            <w:shd w:val="clear" w:color="auto" w:fill="EEF2FF"/>
          </w:tcPr>
          <w:p>
            <w:r>
              <w:rPr>
                <w:b w:val="0"/>
                <w:i w:val="0"/>
                <w:color w:val="222222"/>
                <w:sz w:val="18"/>
              </w:rPr>
              <w:t>Hippo/YAP</w:t>
            </w:r>
          </w:p>
        </w:tc>
        <w:tc>
          <w:tcPr>
            <w:tcW w:type="dxa" w:w="5328"/>
            <w:shd w:val="clear" w:color="auto" w:fill="EEF2FF"/>
          </w:tcPr>
          <w:p>
            <w:r>
              <w:rPr>
                <w:b w:val="0"/>
                <w:i w:val="0"/>
                <w:color w:val="222222"/>
                <w:sz w:val="18"/>
              </w:rPr>
              <w:t>NF2, LATS1, LATS2, YAP1, WWTR1</w:t>
            </w:r>
          </w:p>
        </w:tc>
      </w:tr>
      <w:tr>
        <w:tc>
          <w:tcPr>
            <w:tcW w:type="dxa" w:w="1008"/>
            <w:shd w:val="clear" w:color="auto" w:fill="FFFFFF"/>
          </w:tcPr>
          <w:p>
            <w:r>
              <w:rPr>
                <w:b w:val="0"/>
                <w:i w:val="0"/>
                <w:color w:val="222222"/>
                <w:sz w:val="18"/>
              </w:rPr>
              <w:t>HH</w:t>
            </w:r>
          </w:p>
        </w:tc>
        <w:tc>
          <w:tcPr>
            <w:tcW w:type="dxa" w:w="2304"/>
            <w:shd w:val="clear" w:color="auto" w:fill="FFFFFF"/>
          </w:tcPr>
          <w:p>
            <w:r>
              <w:rPr>
                <w:b w:val="0"/>
                <w:i w:val="0"/>
                <w:color w:val="222222"/>
                <w:sz w:val="18"/>
              </w:rPr>
              <w:t>Hedgehog</w:t>
            </w:r>
          </w:p>
        </w:tc>
        <w:tc>
          <w:tcPr>
            <w:tcW w:type="dxa" w:w="5328"/>
            <w:shd w:val="clear" w:color="auto" w:fill="FFFFFF"/>
          </w:tcPr>
          <w:p>
            <w:r>
              <w:rPr>
                <w:b w:val="0"/>
                <w:i w:val="0"/>
                <w:color w:val="222222"/>
                <w:sz w:val="18"/>
              </w:rPr>
              <w:t>PTCH1, SMO, GLI1, GLI2, SUFU</w:t>
            </w:r>
          </w:p>
        </w:tc>
      </w:tr>
      <w:tr>
        <w:tc>
          <w:tcPr>
            <w:tcW w:type="dxa" w:w="1008"/>
            <w:shd w:val="clear" w:color="auto" w:fill="EEF2FF"/>
          </w:tcPr>
          <w:p>
            <w:r>
              <w:rPr>
                <w:b w:val="0"/>
                <w:i w:val="0"/>
                <w:color w:val="222222"/>
                <w:sz w:val="18"/>
              </w:rPr>
              <w:t>NRF2</w:t>
            </w:r>
          </w:p>
        </w:tc>
        <w:tc>
          <w:tcPr>
            <w:tcW w:type="dxa" w:w="2304"/>
            <w:shd w:val="clear" w:color="auto" w:fill="EEF2FF"/>
          </w:tcPr>
          <w:p>
            <w:r>
              <w:rPr>
                <w:b w:val="0"/>
                <w:i w:val="0"/>
                <w:color w:val="222222"/>
                <w:sz w:val="18"/>
              </w:rPr>
              <w:t>Oxidative stress</w:t>
            </w:r>
          </w:p>
        </w:tc>
        <w:tc>
          <w:tcPr>
            <w:tcW w:type="dxa" w:w="5328"/>
            <w:shd w:val="clear" w:color="auto" w:fill="EEF2FF"/>
          </w:tcPr>
          <w:p>
            <w:r>
              <w:rPr>
                <w:b w:val="0"/>
                <w:i w:val="0"/>
                <w:color w:val="222222"/>
                <w:sz w:val="18"/>
              </w:rPr>
              <w:t>KEAP1, NFE2L2</w:t>
            </w:r>
          </w:p>
        </w:tc>
      </w:tr>
      <w:tr>
        <w:tc>
          <w:tcPr>
            <w:tcW w:type="dxa" w:w="1008"/>
            <w:shd w:val="clear" w:color="auto" w:fill="FFFFFF"/>
          </w:tcPr>
          <w:p>
            <w:r>
              <w:rPr>
                <w:b w:val="0"/>
                <w:i w:val="0"/>
                <w:color w:val="222222"/>
                <w:sz w:val="18"/>
              </w:rPr>
              <w:t>ANGI</w:t>
            </w:r>
          </w:p>
        </w:tc>
        <w:tc>
          <w:tcPr>
            <w:tcW w:type="dxa" w:w="2304"/>
            <w:shd w:val="clear" w:color="auto" w:fill="FFFFFF"/>
          </w:tcPr>
          <w:p>
            <w:r>
              <w:rPr>
                <w:b w:val="0"/>
                <w:i w:val="0"/>
                <w:color w:val="222222"/>
                <w:sz w:val="18"/>
              </w:rPr>
              <w:t>Angiogenesis</w:t>
            </w:r>
          </w:p>
        </w:tc>
        <w:tc>
          <w:tcPr>
            <w:tcW w:type="dxa" w:w="5328"/>
            <w:shd w:val="clear" w:color="auto" w:fill="FFFFFF"/>
          </w:tcPr>
          <w:p>
            <w:r>
              <w:rPr>
                <w:b w:val="0"/>
                <w:i w:val="0"/>
                <w:color w:val="222222"/>
                <w:sz w:val="18"/>
              </w:rPr>
              <w:t>VHL, HIF1A, EPAS1</w:t>
            </w:r>
          </w:p>
        </w:tc>
      </w:tr>
      <w:tr>
        <w:tc>
          <w:tcPr>
            <w:tcW w:type="dxa" w:w="1008"/>
            <w:shd w:val="clear" w:color="auto" w:fill="EEF2FF"/>
          </w:tcPr>
          <w:p>
            <w:r>
              <w:rPr>
                <w:b w:val="0"/>
                <w:i w:val="0"/>
                <w:color w:val="222222"/>
                <w:sz w:val="18"/>
              </w:rPr>
              <w:t>TEL</w:t>
            </w:r>
          </w:p>
        </w:tc>
        <w:tc>
          <w:tcPr>
            <w:tcW w:type="dxa" w:w="2304"/>
            <w:shd w:val="clear" w:color="auto" w:fill="EEF2FF"/>
          </w:tcPr>
          <w:p>
            <w:r>
              <w:rPr>
                <w:b w:val="0"/>
                <w:i w:val="0"/>
                <w:color w:val="222222"/>
                <w:sz w:val="18"/>
              </w:rPr>
              <w:t>Telomere maintenance</w:t>
            </w:r>
          </w:p>
        </w:tc>
        <w:tc>
          <w:tcPr>
            <w:tcW w:type="dxa" w:w="5328"/>
            <w:shd w:val="clear" w:color="auto" w:fill="EEF2FF"/>
          </w:tcPr>
          <w:p>
            <w:r>
              <w:rPr>
                <w:b w:val="0"/>
                <w:i w:val="0"/>
                <w:color w:val="222222"/>
                <w:sz w:val="18"/>
              </w:rPr>
              <w:t>TERT, ATRX, DAXX</w:t>
            </w:r>
          </w:p>
        </w:tc>
      </w:tr>
      <w:tr>
        <w:tc>
          <w:tcPr>
            <w:tcW w:type="dxa" w:w="1008"/>
            <w:shd w:val="clear" w:color="auto" w:fill="FFFFFF"/>
          </w:tcPr>
          <w:p>
            <w:r>
              <w:rPr>
                <w:b w:val="0"/>
                <w:i w:val="0"/>
                <w:color w:val="222222"/>
                <w:sz w:val="18"/>
              </w:rPr>
              <w:t>JAK</w:t>
            </w:r>
          </w:p>
        </w:tc>
        <w:tc>
          <w:tcPr>
            <w:tcW w:type="dxa" w:w="2304"/>
            <w:shd w:val="clear" w:color="auto" w:fill="FFFFFF"/>
          </w:tcPr>
          <w:p>
            <w:r>
              <w:rPr>
                <w:b w:val="0"/>
                <w:i w:val="0"/>
                <w:color w:val="222222"/>
                <w:sz w:val="18"/>
              </w:rPr>
              <w:t>JAK/STAT signalling</w:t>
            </w:r>
          </w:p>
        </w:tc>
        <w:tc>
          <w:tcPr>
            <w:tcW w:type="dxa" w:w="5328"/>
            <w:shd w:val="clear" w:color="auto" w:fill="FFFFFF"/>
          </w:tcPr>
          <w:p>
            <w:r>
              <w:rPr>
                <w:b w:val="0"/>
                <w:i w:val="0"/>
                <w:color w:val="222222"/>
                <w:sz w:val="18"/>
              </w:rPr>
              <w:t>JAK1, JAK2, STAT3, STAT5A, STAT5B</w:t>
            </w:r>
          </w:p>
        </w:tc>
      </w:tr>
      <w:tr>
        <w:tc>
          <w:tcPr>
            <w:tcW w:type="dxa" w:w="1008"/>
            <w:shd w:val="clear" w:color="auto" w:fill="EEF2FF"/>
          </w:tcPr>
          <w:p>
            <w:r>
              <w:rPr>
                <w:b w:val="0"/>
                <w:i w:val="0"/>
                <w:color w:val="222222"/>
                <w:sz w:val="18"/>
              </w:rPr>
              <w:t>OTH</w:t>
            </w:r>
          </w:p>
        </w:tc>
        <w:tc>
          <w:tcPr>
            <w:tcW w:type="dxa" w:w="2304"/>
            <w:shd w:val="clear" w:color="auto" w:fill="EEF2FF"/>
          </w:tcPr>
          <w:p>
            <w:r>
              <w:rPr>
                <w:b w:val="0"/>
                <w:i w:val="0"/>
                <w:color w:val="222222"/>
                <w:sz w:val="18"/>
              </w:rPr>
              <w:t>Other / unclassified</w:t>
            </w:r>
          </w:p>
        </w:tc>
        <w:tc>
          <w:tcPr>
            <w:tcW w:type="dxa" w:w="5328"/>
            <w:shd w:val="clear" w:color="auto" w:fill="EEF2FF"/>
          </w:tcPr>
          <w:p>
            <w:r>
              <w:rPr>
                <w:b w:val="0"/>
                <w:i w:val="0"/>
                <w:color w:val="222222"/>
                <w:sz w:val="18"/>
              </w:rPr>
              <w:t>—</w:t>
            </w:r>
          </w:p>
        </w:tc>
      </w:tr>
    </w:tbl>
    <w:p>
      <w:pPr>
        <w:spacing w:before="0" w:after="0"/>
      </w:pPr>
    </w:p>
    <w:p>
      <w:pPr>
        <w:pStyle w:val="Heading2"/>
        <w:spacing w:before="160" w:after="80"/>
      </w:pPr>
      <w:r>
        <w:rPr>
          <w:color w:val="2F5496"/>
        </w:rPr>
        <w:t>8.3  Germline Predisposition</w:t>
      </w:r>
    </w:p>
    <w:p>
      <w:pPr>
        <w:spacing w:before="40" w:after="100"/>
      </w:pPr>
      <w:r>
        <w:rPr>
          <w:b w:val="0"/>
          <w:i w:val="0"/>
          <w:color w:val="222222"/>
          <w:sz w:val="22"/>
        </w:rPr>
        <w:t>A separate companion panel shows inherited (germline) driver events for the most frequently altered germline cancer predisposition genes in the test cohort. Only patients carrying at least one germline driver event are displayed. This panel highlights hereditary cancer risk in the cohort.</w:t>
      </w:r>
    </w:p>
    <w:p>
      <w:pPr>
        <w:pStyle w:val="Heading1"/>
        <w:spacing w:before="280" w:after="80"/>
      </w:pPr>
      <w:r>
        <w:rPr>
          <w:color w:val="2F5496"/>
        </w:rPr>
        <w:t>9. Potentially Actionable Events</w:t>
      </w:r>
    </w:p>
    <w:p>
      <w:pPr>
        <w:spacing w:before="40" w:after="100"/>
      </w:pPr>
      <w:r>
        <w:rPr>
          <w:b w:val="0"/>
          <w:i w:val="0"/>
          <w:color w:val="222222"/>
          <w:sz w:val="22"/>
        </w:rPr>
        <w:t>An oncoplot showing the most frequent genomic alterations in the test cohort that are matched by the Jackson Clinical Knowledgebase (CKB) to an approved therapy, clinical trial, or experimental evidence. Each row is an actionable alteration and each column is a patient. The companion label panel shows the proportion of test and reference cohort patients carrying each alteration and the evidence tier:</w:t>
      </w:r>
    </w:p>
    <w:p>
      <w:pPr>
        <w:pStyle w:val="ListBullet"/>
        <w:spacing w:before="20" w:after="40"/>
      </w:pPr>
      <w:r>
        <w:rPr>
          <w:b w:val="0"/>
          <w:i w:val="0"/>
          <w:color w:val="222222"/>
          <w:sz w:val="22"/>
        </w:rPr>
        <w:t>FDA — FDA-approved therapy for this alteration in this cancer type.</w:t>
      </w:r>
    </w:p>
    <w:p>
      <w:pPr>
        <w:pStyle w:val="ListBullet"/>
        <w:spacing w:before="20" w:after="40"/>
      </w:pPr>
      <w:r>
        <w:rPr>
          <w:b w:val="0"/>
          <w:i w:val="0"/>
          <w:color w:val="222222"/>
          <w:sz w:val="22"/>
        </w:rPr>
        <w:t>Off — Off-label or drug repurposing evidence.</w:t>
      </w:r>
    </w:p>
    <w:p>
      <w:pPr>
        <w:pStyle w:val="ListBullet"/>
        <w:spacing w:before="20" w:after="40"/>
      </w:pPr>
      <w:r>
        <w:rPr>
          <w:b w:val="0"/>
          <w:i w:val="0"/>
          <w:color w:val="222222"/>
          <w:sz w:val="22"/>
        </w:rPr>
        <w:t>Exp — Experimental evidence from clinical trials or pre-clinical studies.</w:t>
      </w:r>
    </w:p>
    <w:p>
      <w:pPr>
        <w:pStyle w:val="ListBullet"/>
        <w:spacing w:before="20" w:after="40"/>
      </w:pPr>
      <w:r>
        <w:rPr>
          <w:b w:val="0"/>
          <w:i w:val="0"/>
          <w:color w:val="222222"/>
          <w:sz w:val="22"/>
        </w:rPr>
        <w:t>Oth — Other supporting evidence.</w:t>
      </w:r>
    </w:p>
    <w:p>
      <w:pPr>
        <w:spacing w:before="0" w:after="0"/>
      </w:pPr>
    </w:p>
    <w:p>
      <w:pPr>
        <w:spacing w:before="40" w:after="100"/>
      </w:pPr>
      <w:r>
        <w:rPr>
          <w:b w:val="0"/>
          <w:i w:val="0"/>
          <w:color w:val="222222"/>
          <w:sz w:val="22"/>
        </w:rPr>
        <w:t>Source: CKB, Jackson Clinical Knowledgebase (ckbhome.com).</w:t>
      </w:r>
    </w:p>
    <w:p>
      <w:pPr>
        <w:pStyle w:val="Heading1"/>
        <w:spacing w:before="280" w:after="80"/>
      </w:pPr>
      <w:r>
        <w:rPr>
          <w:color w:val="2F5496"/>
        </w:rPr>
        <w:t>10. WGS vs Panel Coverage</w:t>
      </w:r>
    </w:p>
    <w:p>
      <w:pPr>
        <w:spacing w:before="40" w:after="100"/>
      </w:pPr>
      <w:r>
        <w:rPr>
          <w:b w:val="0"/>
          <w:i w:val="0"/>
          <w:color w:val="222222"/>
          <w:sz w:val="22"/>
        </w:rPr>
        <w:t>An in-silico analysis comparing what whole-genome sequencing detects against what targeted sequencing panels would capture, for the actionable biomarkers identified in the test cohort. This quantifies the added diagnostic value of WGS relative to standard clinical panel testing. Three panels are compared: a Broad Tumour Oncology panel, an average comprehensive genomic profiling panel, and the TSO500 targeted panel.</w:t>
      </w:r>
    </w:p>
    <w:p>
      <w:pPr>
        <w:spacing w:before="40" w:after="100"/>
      </w:pPr>
      <w:r>
        <w:rPr>
          <w:b w:val="0"/>
          <w:i w:val="0"/>
          <w:color w:val="222222"/>
          <w:sz w:val="22"/>
        </w:rPr>
        <w:t>Coverage is assessed per biomarker type:</w:t>
      </w:r>
    </w:p>
    <w:p>
      <w:pPr>
        <w:pStyle w:val="ListBullet"/>
        <w:spacing w:before="20" w:after="40"/>
      </w:pPr>
      <w:r>
        <w:rPr>
          <w:b w:val="0"/>
          <w:i w:val="0"/>
          <w:color w:val="222222"/>
          <w:sz w:val="22"/>
        </w:rPr>
        <w:t>TMB High and MSI High — captured by comprehensive panels; HRD is not covered by any panel.</w:t>
      </w:r>
    </w:p>
    <w:p>
      <w:pPr>
        <w:pStyle w:val="ListBullet"/>
        <w:spacing w:before="20" w:after="40"/>
      </w:pPr>
      <w:r>
        <w:rPr>
          <w:b w:val="0"/>
          <w:i w:val="0"/>
          <w:color w:val="222222"/>
          <w:sz w:val="22"/>
        </w:rPr>
        <w:t>Small variants and splice sites — assessed by overlapping variant genomic coordinates against panel capture regions.</w:t>
      </w:r>
    </w:p>
    <w:p>
      <w:pPr>
        <w:pStyle w:val="ListBullet"/>
        <w:spacing w:before="20" w:after="40"/>
      </w:pPr>
      <w:r>
        <w:rPr>
          <w:b w:val="0"/>
          <w:i w:val="0"/>
          <w:color w:val="222222"/>
          <w:sz w:val="22"/>
        </w:rPr>
        <w:t>Copy number alterations — assumed detectable for panel genes showing extreme copy number values.</w:t>
      </w:r>
    </w:p>
    <w:p>
      <w:pPr>
        <w:pStyle w:val="ListBullet"/>
        <w:spacing w:before="20" w:after="40"/>
      </w:pPr>
      <w:r>
        <w:rPr>
          <w:b w:val="0"/>
          <w:i w:val="0"/>
          <w:color w:val="222222"/>
          <w:sz w:val="22"/>
        </w:rPr>
        <w:t>Fusions, homozygous disruptions, viral insertions, and HLA typing — generally not captured by targeted panels.</w:t>
      </w:r>
    </w:p>
    <w:p>
      <w:pPr>
        <w:spacing w:before="0" w:after="0"/>
      </w:pPr>
    </w:p>
    <w:p>
      <w:pPr>
        <w:spacing w:before="40" w:after="100"/>
      </w:pPr>
      <w:r>
        <w:rPr>
          <w:b w:val="0"/>
          <w:i w:val="0"/>
          <w:color w:val="222222"/>
          <w:sz w:val="22"/>
        </w:rPr>
        <w:t>Source: CKB, Jackson Clinical Knowledgebase (ckbhome.com).</w:t>
      </w:r>
    </w:p>
    <w:p>
      <w:pPr>
        <w:pStyle w:val="Heading1"/>
        <w:spacing w:before="280" w:after="80"/>
      </w:pPr>
      <w:r>
        <w:rPr>
          <w:color w:val="2F5496"/>
        </w:rPr>
        <w:t>11. Transcriptomic Landscape</w:t>
      </w:r>
    </w:p>
    <w:p>
      <w:pPr>
        <w:spacing w:before="40" w:after="100"/>
      </w:pPr>
      <w:r>
        <w:rPr>
          <w:b w:val="0"/>
          <w:i w:val="0"/>
          <w:color w:val="222222"/>
          <w:sz w:val="22"/>
        </w:rPr>
        <w:t>This panel is displayed only when RNA sequencing data is available for the test cohort. It shows violin plots comparing 16 pre-defined gene set activity scores between the test and reference cohorts, reflecting the transcriptional activity of key cancer-relevant biological pathways.</w:t>
      </w:r>
    </w:p>
    <w:p>
      <w:pPr>
        <w:spacing w:before="0" w:after="0"/>
      </w:pP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2F5496"/>
          </w:tcPr>
          <w:p>
            <w:r>
              <w:rPr>
                <w:b/>
                <w:i w:val="0"/>
                <w:color w:val="FFFFFF"/>
                <w:sz w:val="18"/>
              </w:rPr>
              <w:t>Score</w:t>
            </w:r>
          </w:p>
        </w:tc>
        <w:tc>
          <w:tcPr>
            <w:tcW w:type="dxa" w:w="6480"/>
            <w:shd w:val="clear" w:color="auto" w:fill="2F5496"/>
          </w:tcPr>
          <w:p>
            <w:r>
              <w:rPr>
                <w:b/>
                <w:i w:val="0"/>
                <w:color w:val="FFFFFF"/>
                <w:sz w:val="18"/>
              </w:rPr>
              <w:t>Biological process</w:t>
            </w:r>
          </w:p>
        </w:tc>
      </w:tr>
      <w:tr>
        <w:tc>
          <w:tcPr>
            <w:tcW w:type="dxa" w:w="2160"/>
            <w:shd w:val="clear" w:color="auto" w:fill="FFFFFF"/>
          </w:tcPr>
          <w:p>
            <w:r>
              <w:rPr>
                <w:b w:val="0"/>
                <w:i w:val="0"/>
                <w:color w:val="222222"/>
                <w:sz w:val="18"/>
              </w:rPr>
              <w:t>Androgen response</w:t>
            </w:r>
          </w:p>
        </w:tc>
        <w:tc>
          <w:tcPr>
            <w:tcW w:type="dxa" w:w="6480"/>
            <w:shd w:val="clear" w:color="auto" w:fill="FFFFFF"/>
          </w:tcPr>
          <w:p>
            <w:r>
              <w:rPr>
                <w:b w:val="0"/>
                <w:i w:val="0"/>
                <w:color w:val="222222"/>
                <w:sz w:val="18"/>
              </w:rPr>
              <w:t>Androgen receptor (AR) signalling activity.</w:t>
            </w:r>
          </w:p>
        </w:tc>
      </w:tr>
      <w:tr>
        <w:tc>
          <w:tcPr>
            <w:tcW w:type="dxa" w:w="2160"/>
            <w:shd w:val="clear" w:color="auto" w:fill="EEF2FF"/>
          </w:tcPr>
          <w:p>
            <w:r>
              <w:rPr>
                <w:b w:val="0"/>
                <w:i w:val="0"/>
                <w:color w:val="222222"/>
                <w:sz w:val="18"/>
              </w:rPr>
              <w:t>EMT</w:t>
            </w:r>
          </w:p>
        </w:tc>
        <w:tc>
          <w:tcPr>
            <w:tcW w:type="dxa" w:w="6480"/>
            <w:shd w:val="clear" w:color="auto" w:fill="EEF2FF"/>
          </w:tcPr>
          <w:p>
            <w:r>
              <w:rPr>
                <w:b w:val="0"/>
                <w:i w:val="0"/>
                <w:color w:val="222222"/>
                <w:sz w:val="18"/>
              </w:rPr>
              <w:t>Epithelial-mesenchymal transition — a programme associated with cancer invasion and metastasis.</w:t>
            </w:r>
          </w:p>
        </w:tc>
      </w:tr>
      <w:tr>
        <w:tc>
          <w:tcPr>
            <w:tcW w:type="dxa" w:w="2160"/>
            <w:shd w:val="clear" w:color="auto" w:fill="FFFFFF"/>
          </w:tcPr>
          <w:p>
            <w:r>
              <w:rPr>
                <w:b w:val="0"/>
                <w:i w:val="0"/>
                <w:color w:val="222222"/>
                <w:sz w:val="18"/>
              </w:rPr>
              <w:t>Estrogen response</w:t>
            </w:r>
          </w:p>
        </w:tc>
        <w:tc>
          <w:tcPr>
            <w:tcW w:type="dxa" w:w="6480"/>
            <w:shd w:val="clear" w:color="auto" w:fill="FFFFFF"/>
          </w:tcPr>
          <w:p>
            <w:r>
              <w:rPr>
                <w:b w:val="0"/>
                <w:i w:val="0"/>
                <w:color w:val="222222"/>
                <w:sz w:val="18"/>
              </w:rPr>
              <w:t>Estrogen receptor (ER) signalling activity.</w:t>
            </w:r>
          </w:p>
        </w:tc>
      </w:tr>
      <w:tr>
        <w:tc>
          <w:tcPr>
            <w:tcW w:type="dxa" w:w="2160"/>
            <w:shd w:val="clear" w:color="auto" w:fill="EEF2FF"/>
          </w:tcPr>
          <w:p>
            <w:r>
              <w:rPr>
                <w:b w:val="0"/>
                <w:i w:val="0"/>
                <w:color w:val="222222"/>
                <w:sz w:val="18"/>
              </w:rPr>
              <w:t>HR activity</w:t>
            </w:r>
          </w:p>
        </w:tc>
        <w:tc>
          <w:tcPr>
            <w:tcW w:type="dxa" w:w="6480"/>
            <w:shd w:val="clear" w:color="auto" w:fill="EEF2FF"/>
          </w:tcPr>
          <w:p>
            <w:r>
              <w:rPr>
                <w:b w:val="0"/>
                <w:i w:val="0"/>
                <w:color w:val="222222"/>
                <w:sz w:val="18"/>
              </w:rPr>
              <w:t>Homologous recombination pathway transcriptional activity.</w:t>
            </w:r>
          </w:p>
        </w:tc>
      </w:tr>
      <w:tr>
        <w:tc>
          <w:tcPr>
            <w:tcW w:type="dxa" w:w="2160"/>
            <w:shd w:val="clear" w:color="auto" w:fill="FFFFFF"/>
          </w:tcPr>
          <w:p>
            <w:r>
              <w:rPr>
                <w:b w:val="0"/>
                <w:i w:val="0"/>
                <w:color w:val="222222"/>
                <w:sz w:val="18"/>
              </w:rPr>
              <w:t>Hypoxia</w:t>
            </w:r>
          </w:p>
        </w:tc>
        <w:tc>
          <w:tcPr>
            <w:tcW w:type="dxa" w:w="6480"/>
            <w:shd w:val="clear" w:color="auto" w:fill="FFFFFF"/>
          </w:tcPr>
          <w:p>
            <w:r>
              <w:rPr>
                <w:b w:val="0"/>
                <w:i w:val="0"/>
                <w:color w:val="222222"/>
                <w:sz w:val="18"/>
              </w:rPr>
              <w:t>Cellular response to low oxygen conditions.</w:t>
            </w:r>
          </w:p>
        </w:tc>
      </w:tr>
      <w:tr>
        <w:tc>
          <w:tcPr>
            <w:tcW w:type="dxa" w:w="2160"/>
            <w:shd w:val="clear" w:color="auto" w:fill="EEF2FF"/>
          </w:tcPr>
          <w:p>
            <w:r>
              <w:rPr>
                <w:b w:val="0"/>
                <w:i w:val="0"/>
                <w:color w:val="222222"/>
                <w:sz w:val="18"/>
              </w:rPr>
              <w:t>IFN-gamma</w:t>
            </w:r>
          </w:p>
        </w:tc>
        <w:tc>
          <w:tcPr>
            <w:tcW w:type="dxa" w:w="6480"/>
            <w:shd w:val="clear" w:color="auto" w:fill="EEF2FF"/>
          </w:tcPr>
          <w:p>
            <w:r>
              <w:rPr>
                <w:b w:val="0"/>
                <w:i w:val="0"/>
                <w:color w:val="222222"/>
                <w:sz w:val="18"/>
              </w:rPr>
              <w:t>Interferon-gamma signalling, associated with anti-tumour immune activation.</w:t>
            </w:r>
          </w:p>
        </w:tc>
      </w:tr>
      <w:tr>
        <w:tc>
          <w:tcPr>
            <w:tcW w:type="dxa" w:w="2160"/>
            <w:shd w:val="clear" w:color="auto" w:fill="FFFFFF"/>
          </w:tcPr>
          <w:p>
            <w:r>
              <w:rPr>
                <w:b w:val="0"/>
                <w:i w:val="0"/>
                <w:color w:val="222222"/>
                <w:sz w:val="18"/>
              </w:rPr>
              <w:t>Immune killing</w:t>
            </w:r>
          </w:p>
        </w:tc>
        <w:tc>
          <w:tcPr>
            <w:tcW w:type="dxa" w:w="6480"/>
            <w:shd w:val="clear" w:color="auto" w:fill="FFFFFF"/>
          </w:tcPr>
          <w:p>
            <w:r>
              <w:rPr>
                <w:b w:val="0"/>
                <w:i w:val="0"/>
                <w:color w:val="222222"/>
                <w:sz w:val="18"/>
              </w:rPr>
              <w:t>Cytotoxic immune cell activity against tumour cells.</w:t>
            </w:r>
          </w:p>
        </w:tc>
      </w:tr>
      <w:tr>
        <w:tc>
          <w:tcPr>
            <w:tcW w:type="dxa" w:w="2160"/>
            <w:shd w:val="clear" w:color="auto" w:fill="EEF2FF"/>
          </w:tcPr>
          <w:p>
            <w:r>
              <w:rPr>
                <w:b w:val="0"/>
                <w:i w:val="0"/>
                <w:color w:val="222222"/>
                <w:sz w:val="18"/>
              </w:rPr>
              <w:t>Macrophage M1</w:t>
            </w:r>
          </w:p>
        </w:tc>
        <w:tc>
          <w:tcPr>
            <w:tcW w:type="dxa" w:w="6480"/>
            <w:shd w:val="clear" w:color="auto" w:fill="EEF2FF"/>
          </w:tcPr>
          <w:p>
            <w:r>
              <w:rPr>
                <w:b w:val="0"/>
                <w:i w:val="0"/>
                <w:color w:val="222222"/>
                <w:sz w:val="18"/>
              </w:rPr>
              <w:t>Pro-inflammatory M1 macrophage polarisation.</w:t>
            </w:r>
          </w:p>
        </w:tc>
      </w:tr>
      <w:tr>
        <w:tc>
          <w:tcPr>
            <w:tcW w:type="dxa" w:w="2160"/>
            <w:shd w:val="clear" w:color="auto" w:fill="FFFFFF"/>
          </w:tcPr>
          <w:p>
            <w:r>
              <w:rPr>
                <w:b w:val="0"/>
                <w:i w:val="0"/>
                <w:color w:val="222222"/>
                <w:sz w:val="18"/>
              </w:rPr>
              <w:t>Macrophage M2</w:t>
            </w:r>
          </w:p>
        </w:tc>
        <w:tc>
          <w:tcPr>
            <w:tcW w:type="dxa" w:w="6480"/>
            <w:shd w:val="clear" w:color="auto" w:fill="FFFFFF"/>
          </w:tcPr>
          <w:p>
            <w:r>
              <w:rPr>
                <w:b w:val="0"/>
                <w:i w:val="0"/>
                <w:color w:val="222222"/>
                <w:sz w:val="18"/>
              </w:rPr>
              <w:t>Immunosuppressive M2 macrophage polarisation, associated with tumour immune evasion.</w:t>
            </w:r>
          </w:p>
        </w:tc>
      </w:tr>
      <w:tr>
        <w:tc>
          <w:tcPr>
            <w:tcW w:type="dxa" w:w="2160"/>
            <w:shd w:val="clear" w:color="auto" w:fill="EEF2FF"/>
          </w:tcPr>
          <w:p>
            <w:r>
              <w:rPr>
                <w:b w:val="0"/>
                <w:i w:val="0"/>
                <w:color w:val="222222"/>
                <w:sz w:val="18"/>
              </w:rPr>
              <w:t>MYC targets</w:t>
            </w:r>
          </w:p>
        </w:tc>
        <w:tc>
          <w:tcPr>
            <w:tcW w:type="dxa" w:w="6480"/>
            <w:shd w:val="clear" w:color="auto" w:fill="EEF2FF"/>
          </w:tcPr>
          <w:p>
            <w:r>
              <w:rPr>
                <w:b w:val="0"/>
                <w:i w:val="0"/>
                <w:color w:val="222222"/>
                <w:sz w:val="18"/>
              </w:rPr>
              <w:t>Expression of MYC transcriptional target genes.</w:t>
            </w:r>
          </w:p>
        </w:tc>
      </w:tr>
      <w:tr>
        <w:tc>
          <w:tcPr>
            <w:tcW w:type="dxa" w:w="2160"/>
            <w:shd w:val="clear" w:color="auto" w:fill="FFFFFF"/>
          </w:tcPr>
          <w:p>
            <w:r>
              <w:rPr>
                <w:b w:val="0"/>
                <w:i w:val="0"/>
                <w:color w:val="222222"/>
                <w:sz w:val="18"/>
              </w:rPr>
              <w:t>NK cell</w:t>
            </w:r>
          </w:p>
        </w:tc>
        <w:tc>
          <w:tcPr>
            <w:tcW w:type="dxa" w:w="6480"/>
            <w:shd w:val="clear" w:color="auto" w:fill="FFFFFF"/>
          </w:tcPr>
          <w:p>
            <w:r>
              <w:rPr>
                <w:b w:val="0"/>
                <w:i w:val="0"/>
                <w:color w:val="222222"/>
                <w:sz w:val="18"/>
              </w:rPr>
              <w:t>Natural killer cell activity.</w:t>
            </w:r>
          </w:p>
        </w:tc>
      </w:tr>
      <w:tr>
        <w:tc>
          <w:tcPr>
            <w:tcW w:type="dxa" w:w="2160"/>
            <w:shd w:val="clear" w:color="auto" w:fill="EEF2FF"/>
          </w:tcPr>
          <w:p>
            <w:r>
              <w:rPr>
                <w:b w:val="0"/>
                <w:i w:val="0"/>
                <w:color w:val="222222"/>
                <w:sz w:val="18"/>
              </w:rPr>
              <w:t>p53 pathway</w:t>
            </w:r>
          </w:p>
        </w:tc>
        <w:tc>
          <w:tcPr>
            <w:tcW w:type="dxa" w:w="6480"/>
            <w:shd w:val="clear" w:color="auto" w:fill="EEF2FF"/>
          </w:tcPr>
          <w:p>
            <w:r>
              <w:rPr>
                <w:b w:val="0"/>
                <w:i w:val="0"/>
                <w:color w:val="222222"/>
                <w:sz w:val="18"/>
              </w:rPr>
              <w:t>p53 tumour suppressor transcriptional programme.</w:t>
            </w:r>
          </w:p>
        </w:tc>
      </w:tr>
      <w:tr>
        <w:tc>
          <w:tcPr>
            <w:tcW w:type="dxa" w:w="2160"/>
            <w:shd w:val="clear" w:color="auto" w:fill="FFFFFF"/>
          </w:tcPr>
          <w:p>
            <w:r>
              <w:rPr>
                <w:b w:val="0"/>
                <w:i w:val="0"/>
                <w:color w:val="222222"/>
                <w:sz w:val="18"/>
              </w:rPr>
              <w:t>PI3K/AKT</w:t>
            </w:r>
          </w:p>
        </w:tc>
        <w:tc>
          <w:tcPr>
            <w:tcW w:type="dxa" w:w="6480"/>
            <w:shd w:val="clear" w:color="auto" w:fill="FFFFFF"/>
          </w:tcPr>
          <w:p>
            <w:r>
              <w:rPr>
                <w:b w:val="0"/>
                <w:i w:val="0"/>
                <w:color w:val="222222"/>
                <w:sz w:val="18"/>
              </w:rPr>
              <w:t>PI3K/AKT/mTOR signalling activity.</w:t>
            </w:r>
          </w:p>
        </w:tc>
      </w:tr>
      <w:tr>
        <w:tc>
          <w:tcPr>
            <w:tcW w:type="dxa" w:w="2160"/>
            <w:shd w:val="clear" w:color="auto" w:fill="EEF2FF"/>
          </w:tcPr>
          <w:p>
            <w:r>
              <w:rPr>
                <w:b w:val="0"/>
                <w:i w:val="0"/>
                <w:color w:val="222222"/>
                <w:sz w:val="18"/>
              </w:rPr>
              <w:t>Proliferation</w:t>
            </w:r>
          </w:p>
        </w:tc>
        <w:tc>
          <w:tcPr>
            <w:tcW w:type="dxa" w:w="6480"/>
            <w:shd w:val="clear" w:color="auto" w:fill="EEF2FF"/>
          </w:tcPr>
          <w:p>
            <w:r>
              <w:rPr>
                <w:b w:val="0"/>
                <w:i w:val="0"/>
                <w:color w:val="222222"/>
                <w:sz w:val="18"/>
              </w:rPr>
              <w:t>Cell cycle and proliferation gene expression.</w:t>
            </w:r>
          </w:p>
        </w:tc>
      </w:tr>
      <w:tr>
        <w:tc>
          <w:tcPr>
            <w:tcW w:type="dxa" w:w="2160"/>
            <w:shd w:val="clear" w:color="auto" w:fill="FFFFFF"/>
          </w:tcPr>
          <w:p>
            <w:r>
              <w:rPr>
                <w:b w:val="0"/>
                <w:i w:val="0"/>
                <w:color w:val="222222"/>
                <w:sz w:val="18"/>
              </w:rPr>
              <w:t>TGF-beta</w:t>
            </w:r>
          </w:p>
        </w:tc>
        <w:tc>
          <w:tcPr>
            <w:tcW w:type="dxa" w:w="6480"/>
            <w:shd w:val="clear" w:color="auto" w:fill="FFFFFF"/>
          </w:tcPr>
          <w:p>
            <w:r>
              <w:rPr>
                <w:b w:val="0"/>
                <w:i w:val="0"/>
                <w:color w:val="222222"/>
                <w:sz w:val="18"/>
              </w:rPr>
              <w:t>TGF-beta signalling, associated with immunosuppression in the tumour microenvironment.</w:t>
            </w:r>
          </w:p>
        </w:tc>
      </w:tr>
      <w:tr>
        <w:tc>
          <w:tcPr>
            <w:tcW w:type="dxa" w:w="2160"/>
            <w:shd w:val="clear" w:color="auto" w:fill="EEF2FF"/>
          </w:tcPr>
          <w:p>
            <w:r>
              <w:rPr>
                <w:b w:val="0"/>
                <w:i w:val="0"/>
                <w:color w:val="222222"/>
                <w:sz w:val="18"/>
              </w:rPr>
              <w:t>WNT</w:t>
            </w:r>
          </w:p>
        </w:tc>
        <w:tc>
          <w:tcPr>
            <w:tcW w:type="dxa" w:w="6480"/>
            <w:shd w:val="clear" w:color="auto" w:fill="EEF2FF"/>
          </w:tcPr>
          <w:p>
            <w:r>
              <w:rPr>
                <w:b w:val="0"/>
                <w:i w:val="0"/>
                <w:color w:val="222222"/>
                <w:sz w:val="18"/>
              </w:rPr>
              <w:t>WNT/beta-catenin signalling activity.</w:t>
            </w:r>
          </w:p>
        </w:tc>
      </w:tr>
    </w:tbl>
    <w:p>
      <w:pPr>
        <w:spacing w:before="0" w:after="0"/>
      </w:pPr>
    </w:p>
    <w:p>
      <w:pPr>
        <w:spacing w:before="40" w:after="100"/>
      </w:pPr>
      <w:r>
        <w:rPr>
          <w:b w:val="0"/>
          <w:i w:val="0"/>
          <w:color w:val="222222"/>
          <w:sz w:val="22"/>
        </w:rPr>
        <w:t>Source: ISOFOX RNA expression quantification.</w:t>
      </w:r>
    </w:p>
    <w:p>
      <w:pPr>
        <w:pStyle w:val="Heading1"/>
        <w:spacing w:before="280" w:after="80"/>
      </w:pPr>
      <w:r>
        <w:rPr>
          <w:color w:val="2F5496"/>
        </w:rPr>
        <w:t>12. Bottom Annotation Strip</w:t>
      </w:r>
    </w:p>
    <w:p>
      <w:pPr>
        <w:spacing w:before="40" w:after="100"/>
      </w:pPr>
      <w:r>
        <w:rPr>
          <w:b w:val="0"/>
          <w:i w:val="0"/>
          <w:color w:val="222222"/>
          <w:sz w:val="22"/>
        </w:rPr>
        <w:t>The bottom of each vignette contains a documentation strip with reference information:</w:t>
      </w:r>
    </w:p>
    <w:p>
      <w:pPr>
        <w:pStyle w:val="ListBullet"/>
        <w:spacing w:before="20" w:after="40"/>
      </w:pPr>
      <w:r>
        <w:rPr>
          <w:b w:val="0"/>
          <w:i w:val="0"/>
          <w:color w:val="222222"/>
          <w:sz w:val="22"/>
        </w:rPr>
        <w:t>Tools — the bioinformatics tools used to generate each panel, with links to the Hartwig HMFtools repository (github.com/hartwigmedical/hmftools).</w:t>
      </w:r>
    </w:p>
    <w:p>
      <w:pPr>
        <w:pStyle w:val="ListBullet"/>
        <w:spacing w:before="20" w:after="40"/>
      </w:pPr>
      <w:r>
        <w:rPr>
          <w:b w:val="0"/>
          <w:i w:val="0"/>
          <w:color w:val="222222"/>
          <w:sz w:val="22"/>
        </w:rPr>
        <w:t>Databases — data sources used, including the Hartwig clinical database and the Jackson Clinical Knowledgebase.</w:t>
      </w:r>
    </w:p>
    <w:p>
      <w:pPr>
        <w:pStyle w:val="ListBullet"/>
        <w:spacing w:before="20" w:after="40"/>
      </w:pPr>
      <w:r>
        <w:rPr>
          <w:b w:val="0"/>
          <w:i w:val="0"/>
          <w:color w:val="222222"/>
          <w:sz w:val="22"/>
        </w:rPr>
        <w:t>DOID codes — Disease Ontology identifiers for the cancer types present in the test cohort.</w:t>
      </w:r>
    </w:p>
    <w:p>
      <w:pPr>
        <w:pStyle w:val="ListBullet"/>
        <w:spacing w:before="20" w:after="40"/>
      </w:pPr>
      <w:r>
        <w:rPr>
          <w:b w:val="0"/>
          <w:i w:val="0"/>
          <w:color w:val="222222"/>
          <w:sz w:val="22"/>
        </w:rPr>
        <w:t>Oncotree codes — standardised oncology taxonomy codes for the cancer types in the test cohort.</w:t>
      </w:r>
    </w:p>
    <w:p>
      <w:pPr>
        <w:pStyle w:val="ListBullet"/>
        <w:spacing w:before="20" w:after="40"/>
      </w:pPr>
      <w:r>
        <w:rPr>
          <w:b w:val="0"/>
          <w:i w:val="0"/>
          <w:color w:val="222222"/>
          <w:sz w:val="22"/>
        </w:rPr>
        <w:t>Date — the date the WGS analysis pipeline was run for these samples.</w:t>
      </w:r>
    </w:p>
    <w:p>
      <w:pPr>
        <w:pStyle w:val="Heading1"/>
        <w:spacing w:before="280" w:after="80"/>
      </w:pPr>
      <w:r>
        <w:rPr>
          <w:color w:val="2F5496"/>
        </w:rPr>
        <w:t>13. Abbreviations</w:t>
      </w:r>
    </w:p>
    <w:tbl>
      <w:tblPr>
        <w:tblStyle w:val="TableGrid"/>
        <w:tblW w:type="auto" w:w="0"/>
        <w:jc w:val="left"/>
        <w:tblLook w:firstColumn="1" w:firstRow="1" w:lastColumn="0" w:lastRow="0" w:noHBand="0" w:noVBand="1" w:val="04A0"/>
      </w:tblPr>
      <w:tblGrid>
        <w:gridCol w:w="4703"/>
        <w:gridCol w:w="4703"/>
      </w:tblGrid>
      <w:tr>
        <w:tc>
          <w:tcPr>
            <w:tcW w:type="dxa" w:w="1728"/>
            <w:shd w:val="clear" w:color="auto" w:fill="2F5496"/>
          </w:tcPr>
          <w:p>
            <w:r>
              <w:rPr>
                <w:b/>
                <w:i w:val="0"/>
                <w:color w:val="FFFFFF"/>
                <w:sz w:val="18"/>
              </w:rPr>
              <w:t>Abbreviation</w:t>
            </w:r>
          </w:p>
        </w:tc>
        <w:tc>
          <w:tcPr>
            <w:tcW w:type="dxa" w:w="6912"/>
            <w:shd w:val="clear" w:color="auto" w:fill="2F5496"/>
          </w:tcPr>
          <w:p>
            <w:r>
              <w:rPr>
                <w:b/>
                <w:i w:val="0"/>
                <w:color w:val="FFFFFF"/>
                <w:sz w:val="18"/>
              </w:rPr>
              <w:t>Full term</w:t>
            </w:r>
          </w:p>
        </w:tc>
      </w:tr>
      <w:tr>
        <w:tc>
          <w:tcPr>
            <w:tcW w:type="dxa" w:w="1728"/>
            <w:shd w:val="clear" w:color="auto" w:fill="FFFFFF"/>
          </w:tcPr>
          <w:p>
            <w:r>
              <w:rPr>
                <w:b w:val="0"/>
                <w:i w:val="0"/>
                <w:color w:val="222222"/>
                <w:sz w:val="18"/>
              </w:rPr>
              <w:t>CDR3</w:t>
            </w:r>
          </w:p>
        </w:tc>
        <w:tc>
          <w:tcPr>
            <w:tcW w:type="dxa" w:w="6912"/>
            <w:shd w:val="clear" w:color="auto" w:fill="FFFFFF"/>
          </w:tcPr>
          <w:p>
            <w:r>
              <w:rPr>
                <w:b w:val="0"/>
                <w:i w:val="0"/>
                <w:color w:val="222222"/>
                <w:sz w:val="18"/>
              </w:rPr>
              <w:t>Complementarity-determining region 3 (T/B-cell receptor hypervariable region)</w:t>
            </w:r>
          </w:p>
        </w:tc>
      </w:tr>
      <w:tr>
        <w:tc>
          <w:tcPr>
            <w:tcW w:type="dxa" w:w="1728"/>
            <w:shd w:val="clear" w:color="auto" w:fill="EEF2FF"/>
          </w:tcPr>
          <w:p>
            <w:r>
              <w:rPr>
                <w:b w:val="0"/>
                <w:i w:val="0"/>
                <w:color w:val="222222"/>
                <w:sz w:val="18"/>
              </w:rPr>
              <w:t>CKB</w:t>
            </w:r>
          </w:p>
        </w:tc>
        <w:tc>
          <w:tcPr>
            <w:tcW w:type="dxa" w:w="6912"/>
            <w:shd w:val="clear" w:color="auto" w:fill="EEF2FF"/>
          </w:tcPr>
          <w:p>
            <w:r>
              <w:rPr>
                <w:b w:val="0"/>
                <w:i w:val="0"/>
                <w:color w:val="222222"/>
                <w:sz w:val="18"/>
              </w:rPr>
              <w:t>Clinical Knowledgebase (Jackson Laboratory)</w:t>
            </w:r>
          </w:p>
        </w:tc>
      </w:tr>
      <w:tr>
        <w:tc>
          <w:tcPr>
            <w:tcW w:type="dxa" w:w="1728"/>
            <w:shd w:val="clear" w:color="auto" w:fill="FFFFFF"/>
          </w:tcPr>
          <w:p>
            <w:r>
              <w:rPr>
                <w:b w:val="0"/>
                <w:i w:val="0"/>
                <w:color w:val="222222"/>
                <w:sz w:val="18"/>
              </w:rPr>
              <w:t>CUPPA</w:t>
            </w:r>
          </w:p>
        </w:tc>
        <w:tc>
          <w:tcPr>
            <w:tcW w:type="dxa" w:w="6912"/>
            <w:shd w:val="clear" w:color="auto" w:fill="FFFFFF"/>
          </w:tcPr>
          <w:p>
            <w:r>
              <w:rPr>
                <w:b w:val="0"/>
                <w:i w:val="0"/>
                <w:color w:val="222222"/>
                <w:sz w:val="18"/>
              </w:rPr>
              <w:t>Cancer of Unknown Primary Prediction Algorithm</w:t>
            </w:r>
          </w:p>
        </w:tc>
      </w:tr>
      <w:tr>
        <w:tc>
          <w:tcPr>
            <w:tcW w:type="dxa" w:w="1728"/>
            <w:shd w:val="clear" w:color="auto" w:fill="EEF2FF"/>
          </w:tcPr>
          <w:p>
            <w:r>
              <w:rPr>
                <w:b w:val="0"/>
                <w:i w:val="0"/>
                <w:color w:val="222222"/>
                <w:sz w:val="18"/>
              </w:rPr>
              <w:t>DOID</w:t>
            </w:r>
          </w:p>
        </w:tc>
        <w:tc>
          <w:tcPr>
            <w:tcW w:type="dxa" w:w="6912"/>
            <w:shd w:val="clear" w:color="auto" w:fill="EEF2FF"/>
          </w:tcPr>
          <w:p>
            <w:r>
              <w:rPr>
                <w:b w:val="0"/>
                <w:i w:val="0"/>
                <w:color w:val="222222"/>
                <w:sz w:val="18"/>
              </w:rPr>
              <w:t>Disease Ontology identifier</w:t>
            </w:r>
          </w:p>
        </w:tc>
      </w:tr>
      <w:tr>
        <w:tc>
          <w:tcPr>
            <w:tcW w:type="dxa" w:w="1728"/>
            <w:shd w:val="clear" w:color="auto" w:fill="FFFFFF"/>
          </w:tcPr>
          <w:p>
            <w:r>
              <w:rPr>
                <w:b w:val="0"/>
                <w:i w:val="0"/>
                <w:color w:val="222222"/>
                <w:sz w:val="18"/>
              </w:rPr>
              <w:t>ecDNA</w:t>
            </w:r>
          </w:p>
        </w:tc>
        <w:tc>
          <w:tcPr>
            <w:tcW w:type="dxa" w:w="6912"/>
            <w:shd w:val="clear" w:color="auto" w:fill="FFFFFF"/>
          </w:tcPr>
          <w:p>
            <w:r>
              <w:rPr>
                <w:b w:val="0"/>
                <w:i w:val="0"/>
                <w:color w:val="222222"/>
                <w:sz w:val="18"/>
              </w:rPr>
              <w:t>Extrachromosomal DNA</w:t>
            </w:r>
          </w:p>
        </w:tc>
      </w:tr>
      <w:tr>
        <w:tc>
          <w:tcPr>
            <w:tcW w:type="dxa" w:w="1728"/>
            <w:shd w:val="clear" w:color="auto" w:fill="EEF2FF"/>
          </w:tcPr>
          <w:p>
            <w:r>
              <w:rPr>
                <w:b w:val="0"/>
                <w:i w:val="0"/>
                <w:color w:val="222222"/>
                <w:sz w:val="18"/>
              </w:rPr>
              <w:t>EMT</w:t>
            </w:r>
          </w:p>
        </w:tc>
        <w:tc>
          <w:tcPr>
            <w:tcW w:type="dxa" w:w="6912"/>
            <w:shd w:val="clear" w:color="auto" w:fill="EEF2FF"/>
          </w:tcPr>
          <w:p>
            <w:r>
              <w:rPr>
                <w:b w:val="0"/>
                <w:i w:val="0"/>
                <w:color w:val="222222"/>
                <w:sz w:val="18"/>
              </w:rPr>
              <w:t>Epithelial-mesenchymal transition</w:t>
            </w:r>
          </w:p>
        </w:tc>
      </w:tr>
      <w:tr>
        <w:tc>
          <w:tcPr>
            <w:tcW w:type="dxa" w:w="1728"/>
            <w:shd w:val="clear" w:color="auto" w:fill="FFFFFF"/>
          </w:tcPr>
          <w:p>
            <w:r>
              <w:rPr>
                <w:b w:val="0"/>
                <w:i w:val="0"/>
                <w:color w:val="222222"/>
                <w:sz w:val="18"/>
              </w:rPr>
              <w:t>FDA</w:t>
            </w:r>
          </w:p>
        </w:tc>
        <w:tc>
          <w:tcPr>
            <w:tcW w:type="dxa" w:w="6912"/>
            <w:shd w:val="clear" w:color="auto" w:fill="FFFFFF"/>
          </w:tcPr>
          <w:p>
            <w:r>
              <w:rPr>
                <w:b w:val="0"/>
                <w:i w:val="0"/>
                <w:color w:val="222222"/>
                <w:sz w:val="18"/>
              </w:rPr>
              <w:t>U.S. Food and Drug Administration</w:t>
            </w:r>
          </w:p>
        </w:tc>
      </w:tr>
      <w:tr>
        <w:tc>
          <w:tcPr>
            <w:tcW w:type="dxa" w:w="1728"/>
            <w:shd w:val="clear" w:color="auto" w:fill="EEF2FF"/>
          </w:tcPr>
          <w:p>
            <w:r>
              <w:rPr>
                <w:b w:val="0"/>
                <w:i w:val="0"/>
                <w:color w:val="222222"/>
                <w:sz w:val="18"/>
              </w:rPr>
              <w:t>GIE</w:t>
            </w:r>
          </w:p>
        </w:tc>
        <w:tc>
          <w:tcPr>
            <w:tcW w:type="dxa" w:w="6912"/>
            <w:shd w:val="clear" w:color="auto" w:fill="EEF2FF"/>
          </w:tcPr>
          <w:p>
            <w:r>
              <w:rPr>
                <w:b w:val="0"/>
                <w:i w:val="0"/>
                <w:color w:val="222222"/>
                <w:sz w:val="18"/>
              </w:rPr>
              <w:t>Genetic immune escape</w:t>
            </w:r>
          </w:p>
        </w:tc>
      </w:tr>
      <w:tr>
        <w:tc>
          <w:tcPr>
            <w:tcW w:type="dxa" w:w="1728"/>
            <w:shd w:val="clear" w:color="auto" w:fill="FFFFFF"/>
          </w:tcPr>
          <w:p>
            <w:r>
              <w:rPr>
                <w:b w:val="0"/>
                <w:i w:val="0"/>
                <w:color w:val="222222"/>
                <w:sz w:val="18"/>
              </w:rPr>
              <w:t>HLA</w:t>
            </w:r>
          </w:p>
        </w:tc>
        <w:tc>
          <w:tcPr>
            <w:tcW w:type="dxa" w:w="6912"/>
            <w:shd w:val="clear" w:color="auto" w:fill="FFFFFF"/>
          </w:tcPr>
          <w:p>
            <w:r>
              <w:rPr>
                <w:b w:val="0"/>
                <w:i w:val="0"/>
                <w:color w:val="222222"/>
                <w:sz w:val="18"/>
              </w:rPr>
              <w:t>Human leukocyte antigen</w:t>
            </w:r>
          </w:p>
        </w:tc>
      </w:tr>
      <w:tr>
        <w:tc>
          <w:tcPr>
            <w:tcW w:type="dxa" w:w="1728"/>
            <w:shd w:val="clear" w:color="auto" w:fill="EEF2FF"/>
          </w:tcPr>
          <w:p>
            <w:r>
              <w:rPr>
                <w:b w:val="0"/>
                <w:i w:val="0"/>
                <w:color w:val="222222"/>
                <w:sz w:val="18"/>
              </w:rPr>
              <w:t>HRD</w:t>
            </w:r>
          </w:p>
        </w:tc>
        <w:tc>
          <w:tcPr>
            <w:tcW w:type="dxa" w:w="6912"/>
            <w:shd w:val="clear" w:color="auto" w:fill="EEF2FF"/>
          </w:tcPr>
          <w:p>
            <w:r>
              <w:rPr>
                <w:b w:val="0"/>
                <w:i w:val="0"/>
                <w:color w:val="222222"/>
                <w:sz w:val="18"/>
              </w:rPr>
              <w:t>Homologous recombination deficiency</w:t>
            </w:r>
          </w:p>
        </w:tc>
      </w:tr>
      <w:tr>
        <w:tc>
          <w:tcPr>
            <w:tcW w:type="dxa" w:w="1728"/>
            <w:shd w:val="clear" w:color="auto" w:fill="FFFFFF"/>
          </w:tcPr>
          <w:p>
            <w:r>
              <w:rPr>
                <w:b w:val="0"/>
                <w:i w:val="0"/>
                <w:color w:val="222222"/>
                <w:sz w:val="18"/>
              </w:rPr>
              <w:t>IFN-gamma</w:t>
            </w:r>
          </w:p>
        </w:tc>
        <w:tc>
          <w:tcPr>
            <w:tcW w:type="dxa" w:w="6912"/>
            <w:shd w:val="clear" w:color="auto" w:fill="FFFFFF"/>
          </w:tcPr>
          <w:p>
            <w:r>
              <w:rPr>
                <w:b w:val="0"/>
                <w:i w:val="0"/>
                <w:color w:val="222222"/>
                <w:sz w:val="18"/>
              </w:rPr>
              <w:t>Interferon gamma</w:t>
            </w:r>
          </w:p>
        </w:tc>
      </w:tr>
      <w:tr>
        <w:tc>
          <w:tcPr>
            <w:tcW w:type="dxa" w:w="1728"/>
            <w:shd w:val="clear" w:color="auto" w:fill="EEF2FF"/>
          </w:tcPr>
          <w:p>
            <w:r>
              <w:rPr>
                <w:b w:val="0"/>
                <w:i w:val="0"/>
                <w:color w:val="222222"/>
                <w:sz w:val="18"/>
              </w:rPr>
              <w:t>INDEL</w:t>
            </w:r>
          </w:p>
        </w:tc>
        <w:tc>
          <w:tcPr>
            <w:tcW w:type="dxa" w:w="6912"/>
            <w:shd w:val="clear" w:color="auto" w:fill="EEF2FF"/>
          </w:tcPr>
          <w:p>
            <w:r>
              <w:rPr>
                <w:b w:val="0"/>
                <w:i w:val="0"/>
                <w:color w:val="222222"/>
                <w:sz w:val="18"/>
              </w:rPr>
              <w:t>Insertion or deletion variant</w:t>
            </w:r>
          </w:p>
        </w:tc>
      </w:tr>
      <w:tr>
        <w:tc>
          <w:tcPr>
            <w:tcW w:type="dxa" w:w="1728"/>
            <w:shd w:val="clear" w:color="auto" w:fill="FFFFFF"/>
          </w:tcPr>
          <w:p>
            <w:r>
              <w:rPr>
                <w:b w:val="0"/>
                <w:i w:val="0"/>
                <w:color w:val="222222"/>
                <w:sz w:val="18"/>
              </w:rPr>
              <w:t>LINE</w:t>
            </w:r>
          </w:p>
        </w:tc>
        <w:tc>
          <w:tcPr>
            <w:tcW w:type="dxa" w:w="6912"/>
            <w:shd w:val="clear" w:color="auto" w:fill="FFFFFF"/>
          </w:tcPr>
          <w:p>
            <w:r>
              <w:rPr>
                <w:b w:val="0"/>
                <w:i w:val="0"/>
                <w:color w:val="222222"/>
                <w:sz w:val="18"/>
              </w:rPr>
              <w:t>Long interspersed nuclear element (mobile genetic element)</w:t>
            </w:r>
          </w:p>
        </w:tc>
      </w:tr>
      <w:tr>
        <w:tc>
          <w:tcPr>
            <w:tcW w:type="dxa" w:w="1728"/>
            <w:shd w:val="clear" w:color="auto" w:fill="EEF2FF"/>
          </w:tcPr>
          <w:p>
            <w:r>
              <w:rPr>
                <w:b w:val="0"/>
                <w:i w:val="0"/>
                <w:color w:val="222222"/>
                <w:sz w:val="18"/>
              </w:rPr>
              <w:t>LOH</w:t>
            </w:r>
          </w:p>
        </w:tc>
        <w:tc>
          <w:tcPr>
            <w:tcW w:type="dxa" w:w="6912"/>
            <w:shd w:val="clear" w:color="auto" w:fill="EEF2FF"/>
          </w:tcPr>
          <w:p>
            <w:r>
              <w:rPr>
                <w:b w:val="0"/>
                <w:i w:val="0"/>
                <w:color w:val="222222"/>
                <w:sz w:val="18"/>
              </w:rPr>
              <w:t>Loss of heterozygosity</w:t>
            </w:r>
          </w:p>
        </w:tc>
      </w:tr>
      <w:tr>
        <w:tc>
          <w:tcPr>
            <w:tcW w:type="dxa" w:w="1728"/>
            <w:shd w:val="clear" w:color="auto" w:fill="FFFFFF"/>
          </w:tcPr>
          <w:p>
            <w:r>
              <w:rPr>
                <w:b w:val="0"/>
                <w:i w:val="0"/>
                <w:color w:val="222222"/>
                <w:sz w:val="18"/>
              </w:rPr>
              <w:t>MNV</w:t>
            </w:r>
          </w:p>
        </w:tc>
        <w:tc>
          <w:tcPr>
            <w:tcW w:type="dxa" w:w="6912"/>
            <w:shd w:val="clear" w:color="auto" w:fill="FFFFFF"/>
          </w:tcPr>
          <w:p>
            <w:r>
              <w:rPr>
                <w:b w:val="0"/>
                <w:i w:val="0"/>
                <w:color w:val="222222"/>
                <w:sz w:val="18"/>
              </w:rPr>
              <w:t>Multi-nucleotide variant</w:t>
            </w:r>
          </w:p>
        </w:tc>
      </w:tr>
      <w:tr>
        <w:tc>
          <w:tcPr>
            <w:tcW w:type="dxa" w:w="1728"/>
            <w:shd w:val="clear" w:color="auto" w:fill="EEF2FF"/>
          </w:tcPr>
          <w:p>
            <w:r>
              <w:rPr>
                <w:b w:val="0"/>
                <w:i w:val="0"/>
                <w:color w:val="222222"/>
                <w:sz w:val="18"/>
              </w:rPr>
              <w:t>MSI</w:t>
            </w:r>
          </w:p>
        </w:tc>
        <w:tc>
          <w:tcPr>
            <w:tcW w:type="dxa" w:w="6912"/>
            <w:shd w:val="clear" w:color="auto" w:fill="EEF2FF"/>
          </w:tcPr>
          <w:p>
            <w:r>
              <w:rPr>
                <w:b w:val="0"/>
                <w:i w:val="0"/>
                <w:color w:val="222222"/>
                <w:sz w:val="18"/>
              </w:rPr>
              <w:t>Microsatellite instability</w:t>
            </w:r>
          </w:p>
        </w:tc>
      </w:tr>
      <w:tr>
        <w:tc>
          <w:tcPr>
            <w:tcW w:type="dxa" w:w="1728"/>
            <w:shd w:val="clear" w:color="auto" w:fill="FFFFFF"/>
          </w:tcPr>
          <w:p>
            <w:r>
              <w:rPr>
                <w:b w:val="0"/>
                <w:i w:val="0"/>
                <w:color w:val="222222"/>
                <w:sz w:val="18"/>
              </w:rPr>
              <w:t>ONC</w:t>
            </w:r>
          </w:p>
        </w:tc>
        <w:tc>
          <w:tcPr>
            <w:tcW w:type="dxa" w:w="6912"/>
            <w:shd w:val="clear" w:color="auto" w:fill="FFFFFF"/>
          </w:tcPr>
          <w:p>
            <w:r>
              <w:rPr>
                <w:b w:val="0"/>
                <w:i w:val="0"/>
                <w:color w:val="222222"/>
                <w:sz w:val="18"/>
              </w:rPr>
              <w:t>Oncogene</w:t>
            </w:r>
          </w:p>
        </w:tc>
      </w:tr>
      <w:tr>
        <w:tc>
          <w:tcPr>
            <w:tcW w:type="dxa" w:w="1728"/>
            <w:shd w:val="clear" w:color="auto" w:fill="EEF2FF"/>
          </w:tcPr>
          <w:p>
            <w:r>
              <w:rPr>
                <w:b w:val="0"/>
                <w:i w:val="0"/>
                <w:color w:val="222222"/>
                <w:sz w:val="18"/>
              </w:rPr>
              <w:t>RECIST</w:t>
            </w:r>
          </w:p>
        </w:tc>
        <w:tc>
          <w:tcPr>
            <w:tcW w:type="dxa" w:w="6912"/>
            <w:shd w:val="clear" w:color="auto" w:fill="EEF2FF"/>
          </w:tcPr>
          <w:p>
            <w:r>
              <w:rPr>
                <w:b w:val="0"/>
                <w:i w:val="0"/>
                <w:color w:val="222222"/>
                <w:sz w:val="18"/>
              </w:rPr>
              <w:t>Response Evaluation Criteria in Solid Tumours</w:t>
            </w:r>
          </w:p>
        </w:tc>
      </w:tr>
      <w:tr>
        <w:tc>
          <w:tcPr>
            <w:tcW w:type="dxa" w:w="1728"/>
            <w:shd w:val="clear" w:color="auto" w:fill="FFFFFF"/>
          </w:tcPr>
          <w:p>
            <w:r>
              <w:rPr>
                <w:b w:val="0"/>
                <w:i w:val="0"/>
                <w:color w:val="222222"/>
                <w:sz w:val="18"/>
              </w:rPr>
              <w:t>SNV</w:t>
            </w:r>
          </w:p>
        </w:tc>
        <w:tc>
          <w:tcPr>
            <w:tcW w:type="dxa" w:w="6912"/>
            <w:shd w:val="clear" w:color="auto" w:fill="FFFFFF"/>
          </w:tcPr>
          <w:p>
            <w:r>
              <w:rPr>
                <w:b w:val="0"/>
                <w:i w:val="0"/>
                <w:color w:val="222222"/>
                <w:sz w:val="18"/>
              </w:rPr>
              <w:t>Single nucleotide variant</w:t>
            </w:r>
          </w:p>
        </w:tc>
      </w:tr>
      <w:tr>
        <w:tc>
          <w:tcPr>
            <w:tcW w:type="dxa" w:w="1728"/>
            <w:shd w:val="clear" w:color="auto" w:fill="EEF2FF"/>
          </w:tcPr>
          <w:p>
            <w:r>
              <w:rPr>
                <w:b w:val="0"/>
                <w:i w:val="0"/>
                <w:color w:val="222222"/>
                <w:sz w:val="18"/>
              </w:rPr>
              <w:t>SV</w:t>
            </w:r>
          </w:p>
        </w:tc>
        <w:tc>
          <w:tcPr>
            <w:tcW w:type="dxa" w:w="6912"/>
            <w:shd w:val="clear" w:color="auto" w:fill="EEF2FF"/>
          </w:tcPr>
          <w:p>
            <w:r>
              <w:rPr>
                <w:b w:val="0"/>
                <w:i w:val="0"/>
                <w:color w:val="222222"/>
                <w:sz w:val="18"/>
              </w:rPr>
              <w:t>Structural variant</w:t>
            </w:r>
          </w:p>
        </w:tc>
      </w:tr>
      <w:tr>
        <w:tc>
          <w:tcPr>
            <w:tcW w:type="dxa" w:w="1728"/>
            <w:shd w:val="clear" w:color="auto" w:fill="FFFFFF"/>
          </w:tcPr>
          <w:p>
            <w:r>
              <w:rPr>
                <w:b w:val="0"/>
                <w:i w:val="0"/>
                <w:color w:val="222222"/>
                <w:sz w:val="18"/>
              </w:rPr>
              <w:t>TGF-beta</w:t>
            </w:r>
          </w:p>
        </w:tc>
        <w:tc>
          <w:tcPr>
            <w:tcW w:type="dxa" w:w="6912"/>
            <w:shd w:val="clear" w:color="auto" w:fill="FFFFFF"/>
          </w:tcPr>
          <w:p>
            <w:r>
              <w:rPr>
                <w:b w:val="0"/>
                <w:i w:val="0"/>
                <w:color w:val="222222"/>
                <w:sz w:val="18"/>
              </w:rPr>
              <w:t>Transforming growth factor beta</w:t>
            </w:r>
          </w:p>
        </w:tc>
      </w:tr>
      <w:tr>
        <w:tc>
          <w:tcPr>
            <w:tcW w:type="dxa" w:w="1728"/>
            <w:shd w:val="clear" w:color="auto" w:fill="EEF2FF"/>
          </w:tcPr>
          <w:p>
            <w:r>
              <w:rPr>
                <w:b w:val="0"/>
                <w:i w:val="0"/>
                <w:color w:val="222222"/>
                <w:sz w:val="18"/>
              </w:rPr>
              <w:t>TMB</w:t>
            </w:r>
          </w:p>
        </w:tc>
        <w:tc>
          <w:tcPr>
            <w:tcW w:type="dxa" w:w="6912"/>
            <w:shd w:val="clear" w:color="auto" w:fill="EEF2FF"/>
          </w:tcPr>
          <w:p>
            <w:r>
              <w:rPr>
                <w:b w:val="0"/>
                <w:i w:val="0"/>
                <w:color w:val="222222"/>
                <w:sz w:val="18"/>
              </w:rPr>
              <w:t>Tumour mutational burden</w:t>
            </w:r>
          </w:p>
        </w:tc>
      </w:tr>
      <w:tr>
        <w:tc>
          <w:tcPr>
            <w:tcW w:type="dxa" w:w="1728"/>
            <w:shd w:val="clear" w:color="auto" w:fill="FFFFFF"/>
          </w:tcPr>
          <w:p>
            <w:r>
              <w:rPr>
                <w:b w:val="0"/>
                <w:i w:val="0"/>
                <w:color w:val="222222"/>
                <w:sz w:val="18"/>
              </w:rPr>
              <w:t>TSG</w:t>
            </w:r>
          </w:p>
        </w:tc>
        <w:tc>
          <w:tcPr>
            <w:tcW w:type="dxa" w:w="6912"/>
            <w:shd w:val="clear" w:color="auto" w:fill="FFFFFF"/>
          </w:tcPr>
          <w:p>
            <w:r>
              <w:rPr>
                <w:b w:val="0"/>
                <w:i w:val="0"/>
                <w:color w:val="222222"/>
                <w:sz w:val="18"/>
              </w:rPr>
              <w:t>Tumour suppressor gene</w:t>
            </w:r>
          </w:p>
        </w:tc>
      </w:tr>
      <w:tr>
        <w:tc>
          <w:tcPr>
            <w:tcW w:type="dxa" w:w="1728"/>
            <w:shd w:val="clear" w:color="auto" w:fill="EEF2FF"/>
          </w:tcPr>
          <w:p>
            <w:r>
              <w:rPr>
                <w:b w:val="0"/>
                <w:i w:val="0"/>
                <w:color w:val="222222"/>
                <w:sz w:val="18"/>
              </w:rPr>
              <w:t>WGD</w:t>
            </w:r>
          </w:p>
        </w:tc>
        <w:tc>
          <w:tcPr>
            <w:tcW w:type="dxa" w:w="6912"/>
            <w:shd w:val="clear" w:color="auto" w:fill="EEF2FF"/>
          </w:tcPr>
          <w:p>
            <w:r>
              <w:rPr>
                <w:b w:val="0"/>
                <w:i w:val="0"/>
                <w:color w:val="222222"/>
                <w:sz w:val="18"/>
              </w:rPr>
              <w:t>Whole genome doubling</w:t>
            </w:r>
          </w:p>
        </w:tc>
      </w:tr>
      <w:tr>
        <w:tc>
          <w:tcPr>
            <w:tcW w:type="dxa" w:w="1728"/>
            <w:shd w:val="clear" w:color="auto" w:fill="FFFFFF"/>
          </w:tcPr>
          <w:p>
            <w:r>
              <w:rPr>
                <w:b w:val="0"/>
                <w:i w:val="0"/>
                <w:color w:val="222222"/>
                <w:sz w:val="18"/>
              </w:rPr>
              <w:t>WGS</w:t>
            </w:r>
          </w:p>
        </w:tc>
        <w:tc>
          <w:tcPr>
            <w:tcW w:type="dxa" w:w="6912"/>
            <w:shd w:val="clear" w:color="auto" w:fill="FFFFFF"/>
          </w:tcPr>
          <w:p>
            <w:r>
              <w:rPr>
                <w:b w:val="0"/>
                <w:i w:val="0"/>
                <w:color w:val="222222"/>
                <w:sz w:val="18"/>
              </w:rPr>
              <w:t>Whole genome sequencing</w:t>
            </w:r>
          </w:p>
        </w:tc>
      </w:tr>
    </w:tbl>
    <w:p>
      <w:pPr>
        <w:spacing w:before="0" w:after="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