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26FA7" w14:textId="2A6BE98E" w:rsidR="00DB2D90" w:rsidRDefault="00B70678">
      <w:pPr>
        <w:rPr>
          <w:b/>
          <w:bCs/>
          <w:u w:val="single"/>
        </w:rPr>
      </w:pPr>
      <w:r>
        <w:rPr>
          <w:b/>
          <w:bCs/>
          <w:u w:val="single"/>
        </w:rPr>
        <w:t>Predictions</w:t>
      </w:r>
    </w:p>
    <w:p w14:paraId="08EBA563" w14:textId="5857CFA7" w:rsidR="00B70678" w:rsidRPr="00B70678" w:rsidRDefault="00B70678" w:rsidP="00B70678">
      <w:pPr>
        <w:pStyle w:val="ListParagraph"/>
        <w:numPr>
          <w:ilvl w:val="0"/>
          <w:numId w:val="1"/>
        </w:numPr>
        <w:rPr>
          <w:b/>
          <w:bCs/>
          <w:u w:val="single"/>
        </w:rPr>
      </w:pPr>
      <w:r>
        <w:t>Number of Cases</w:t>
      </w:r>
    </w:p>
    <w:p w14:paraId="3BC6129C" w14:textId="6146C537" w:rsidR="00B70678" w:rsidRPr="00B70678" w:rsidRDefault="00B70678" w:rsidP="00B70678">
      <w:pPr>
        <w:pStyle w:val="ListParagraph"/>
        <w:numPr>
          <w:ilvl w:val="0"/>
          <w:numId w:val="1"/>
        </w:numPr>
        <w:rPr>
          <w:b/>
          <w:bCs/>
          <w:u w:val="single"/>
        </w:rPr>
      </w:pPr>
      <w:r>
        <w:t>Number of Deaths</w:t>
      </w:r>
      <w:r w:rsidR="00EC0D7F">
        <w:t xml:space="preserve"> </w:t>
      </w:r>
    </w:p>
    <w:p w14:paraId="14DC1899" w14:textId="47ACF693" w:rsidR="00B70678" w:rsidRDefault="00B70678" w:rsidP="00B70678">
      <w:pPr>
        <w:rPr>
          <w:b/>
          <w:bCs/>
          <w:u w:val="single"/>
        </w:rPr>
      </w:pPr>
    </w:p>
    <w:p w14:paraId="517C4B3B" w14:textId="1788B640" w:rsidR="00B70678" w:rsidRDefault="00B70678" w:rsidP="00B70678">
      <w:pPr>
        <w:rPr>
          <w:b/>
          <w:bCs/>
          <w:u w:val="single"/>
        </w:rPr>
      </w:pPr>
      <w:r>
        <w:rPr>
          <w:b/>
          <w:bCs/>
          <w:u w:val="single"/>
        </w:rPr>
        <w:t>Train Set</w:t>
      </w:r>
    </w:p>
    <w:p w14:paraId="72C48412" w14:textId="2440CF0C" w:rsidR="00B70678" w:rsidRPr="00B70678" w:rsidRDefault="00B70678" w:rsidP="00B70678">
      <w:pPr>
        <w:pStyle w:val="ListParagraph"/>
        <w:numPr>
          <w:ilvl w:val="0"/>
          <w:numId w:val="2"/>
        </w:numPr>
        <w:rPr>
          <w:b/>
          <w:bCs/>
          <w:u w:val="single"/>
        </w:rPr>
      </w:pPr>
      <w:r>
        <w:t>World data</w:t>
      </w:r>
    </w:p>
    <w:p w14:paraId="6553D47A" w14:textId="62E06492" w:rsidR="00B70678" w:rsidRDefault="00B70678" w:rsidP="00B70678">
      <w:pPr>
        <w:rPr>
          <w:b/>
          <w:bCs/>
          <w:u w:val="single"/>
        </w:rPr>
      </w:pPr>
    </w:p>
    <w:p w14:paraId="557F0D4E" w14:textId="09C9157F" w:rsidR="00B70678" w:rsidRDefault="00B70678" w:rsidP="00B70678">
      <w:pPr>
        <w:rPr>
          <w:b/>
          <w:bCs/>
          <w:u w:val="single"/>
        </w:rPr>
      </w:pPr>
      <w:r>
        <w:rPr>
          <w:b/>
          <w:bCs/>
          <w:u w:val="single"/>
        </w:rPr>
        <w:t>Test Set</w:t>
      </w:r>
      <w:bookmarkStart w:id="0" w:name="_GoBack"/>
      <w:bookmarkEnd w:id="0"/>
    </w:p>
    <w:p w14:paraId="024A593F" w14:textId="4C6DCBA8" w:rsidR="00B70678" w:rsidRDefault="00B70678" w:rsidP="00B70678">
      <w:pPr>
        <w:pStyle w:val="ListParagraph"/>
        <w:numPr>
          <w:ilvl w:val="0"/>
          <w:numId w:val="2"/>
        </w:numPr>
      </w:pPr>
      <w:r>
        <w:t>50 US States</w:t>
      </w:r>
    </w:p>
    <w:p w14:paraId="2B2AC8F2" w14:textId="4939BB3F" w:rsidR="00B70678" w:rsidRDefault="00B70678" w:rsidP="00B70678"/>
    <w:p w14:paraId="46D13BD3" w14:textId="01FAE651" w:rsidR="00B70678" w:rsidRDefault="00B70678" w:rsidP="00B70678">
      <w:pPr>
        <w:rPr>
          <w:b/>
          <w:bCs/>
          <w:u w:val="single"/>
        </w:rPr>
      </w:pPr>
      <w:r>
        <w:rPr>
          <w:b/>
          <w:bCs/>
          <w:u w:val="single"/>
        </w:rPr>
        <w:t>Possible Features</w:t>
      </w:r>
    </w:p>
    <w:p w14:paraId="116268A7" w14:textId="7308A991" w:rsidR="00B70678" w:rsidRPr="008C53C0" w:rsidRDefault="00B70678" w:rsidP="00B70678">
      <w:pPr>
        <w:pStyle w:val="ListParagraph"/>
        <w:numPr>
          <w:ilvl w:val="0"/>
          <w:numId w:val="2"/>
        </w:numPr>
        <w:rPr>
          <w:strike/>
        </w:rPr>
      </w:pPr>
      <w:r w:rsidRPr="008C53C0">
        <w:rPr>
          <w:strike/>
        </w:rPr>
        <w:t>Average life expectancy</w:t>
      </w:r>
    </w:p>
    <w:p w14:paraId="3B80FEAB" w14:textId="0E7DDAEF" w:rsidR="00EC0D7F" w:rsidRPr="00A732F7" w:rsidRDefault="00EC0D7F" w:rsidP="00EC0D7F">
      <w:pPr>
        <w:pStyle w:val="ListParagraph"/>
        <w:numPr>
          <w:ilvl w:val="0"/>
          <w:numId w:val="2"/>
        </w:numPr>
        <w:rPr>
          <w:strike/>
        </w:rPr>
      </w:pPr>
      <w:r w:rsidRPr="00A732F7">
        <w:rPr>
          <w:strike/>
        </w:rPr>
        <w:t>Median age</w:t>
      </w:r>
      <w:r w:rsidR="00A732F7">
        <w:rPr>
          <w:strike/>
        </w:rPr>
        <w:t xml:space="preserve"> (% &gt;65)</w:t>
      </w:r>
    </w:p>
    <w:p w14:paraId="594E51C6" w14:textId="5FB3BCC1" w:rsidR="00313FF9" w:rsidRPr="00A732F7" w:rsidRDefault="00313FF9" w:rsidP="00B70678">
      <w:pPr>
        <w:pStyle w:val="ListParagraph"/>
        <w:numPr>
          <w:ilvl w:val="0"/>
          <w:numId w:val="2"/>
        </w:numPr>
        <w:rPr>
          <w:strike/>
        </w:rPr>
      </w:pPr>
      <w:r w:rsidRPr="00A732F7">
        <w:rPr>
          <w:strike/>
        </w:rPr>
        <w:t>Pre-existing conditions</w:t>
      </w:r>
    </w:p>
    <w:p w14:paraId="0D5D13C1" w14:textId="766736F3" w:rsidR="00313FF9" w:rsidRPr="00A732F7" w:rsidRDefault="00313FF9" w:rsidP="00313FF9">
      <w:pPr>
        <w:pStyle w:val="ListParagraph"/>
        <w:numPr>
          <w:ilvl w:val="1"/>
          <w:numId w:val="2"/>
        </w:numPr>
        <w:rPr>
          <w:strike/>
        </w:rPr>
      </w:pPr>
      <w:r w:rsidRPr="00A732F7">
        <w:rPr>
          <w:strike/>
        </w:rPr>
        <w:t>% diabetes, heart disease</w:t>
      </w:r>
    </w:p>
    <w:p w14:paraId="7B03A6C3" w14:textId="21606BC0" w:rsidR="00B70678" w:rsidRPr="00F448EA" w:rsidRDefault="00B70678" w:rsidP="00B70678">
      <w:pPr>
        <w:pStyle w:val="ListParagraph"/>
        <w:numPr>
          <w:ilvl w:val="0"/>
          <w:numId w:val="2"/>
        </w:numPr>
        <w:rPr>
          <w:strike/>
        </w:rPr>
      </w:pPr>
      <w:r w:rsidRPr="00F448EA">
        <w:rPr>
          <w:strike/>
        </w:rPr>
        <w:t>Hospital beds per capita</w:t>
      </w:r>
    </w:p>
    <w:p w14:paraId="0B1274DA" w14:textId="4746CA65" w:rsidR="00B70678" w:rsidRDefault="00B70678" w:rsidP="00B70678">
      <w:pPr>
        <w:pStyle w:val="ListParagraph"/>
        <w:numPr>
          <w:ilvl w:val="0"/>
          <w:numId w:val="2"/>
        </w:numPr>
      </w:pPr>
      <w:r>
        <w:t>Hospitals per capita</w:t>
      </w:r>
    </w:p>
    <w:p w14:paraId="01CF649B" w14:textId="0262AFC9" w:rsidR="00B70678" w:rsidRDefault="00B70678" w:rsidP="00B70678">
      <w:pPr>
        <w:pStyle w:val="ListParagraph"/>
        <w:numPr>
          <w:ilvl w:val="0"/>
          <w:numId w:val="2"/>
        </w:numPr>
        <w:rPr>
          <w:strike/>
        </w:rPr>
      </w:pPr>
      <w:r w:rsidRPr="00F448EA">
        <w:rPr>
          <w:strike/>
        </w:rPr>
        <w:t>Doctors per capita</w:t>
      </w:r>
    </w:p>
    <w:p w14:paraId="29A0409E" w14:textId="43A1E3D3" w:rsidR="00B70678" w:rsidRPr="008C53C0" w:rsidRDefault="00313FF9" w:rsidP="00B70678">
      <w:pPr>
        <w:pStyle w:val="ListParagraph"/>
        <w:numPr>
          <w:ilvl w:val="0"/>
          <w:numId w:val="2"/>
        </w:numPr>
        <w:rPr>
          <w:strike/>
        </w:rPr>
      </w:pPr>
      <w:r w:rsidRPr="008C53C0">
        <w:rPr>
          <w:strike/>
        </w:rPr>
        <w:t>Population density</w:t>
      </w:r>
    </w:p>
    <w:p w14:paraId="31683DD5" w14:textId="67B901FE" w:rsidR="00313FF9" w:rsidRPr="00FD7A53" w:rsidRDefault="00313FF9" w:rsidP="00B70678">
      <w:pPr>
        <w:pStyle w:val="ListParagraph"/>
        <w:numPr>
          <w:ilvl w:val="0"/>
          <w:numId w:val="2"/>
        </w:numPr>
        <w:rPr>
          <w:strike/>
        </w:rPr>
      </w:pPr>
      <w:r w:rsidRPr="00FD7A53">
        <w:rPr>
          <w:strike/>
        </w:rPr>
        <w:t>Median income</w:t>
      </w:r>
    </w:p>
    <w:p w14:paraId="3F8E574C" w14:textId="7CCDF2F6" w:rsidR="004412F1" w:rsidRPr="008C53C0" w:rsidRDefault="004412F1" w:rsidP="00B70678">
      <w:pPr>
        <w:pStyle w:val="ListParagraph"/>
        <w:numPr>
          <w:ilvl w:val="0"/>
          <w:numId w:val="2"/>
        </w:numPr>
        <w:rPr>
          <w:strike/>
        </w:rPr>
      </w:pPr>
      <w:r w:rsidRPr="008C53C0">
        <w:rPr>
          <w:strike/>
        </w:rPr>
        <w:t>GDP</w:t>
      </w:r>
    </w:p>
    <w:p w14:paraId="075341EE" w14:textId="0B15DF88" w:rsidR="00313FF9" w:rsidRPr="004412F1" w:rsidRDefault="00313FF9" w:rsidP="00B70678">
      <w:pPr>
        <w:pStyle w:val="ListParagraph"/>
        <w:numPr>
          <w:ilvl w:val="0"/>
          <w:numId w:val="2"/>
        </w:numPr>
        <w:rPr>
          <w:strike/>
        </w:rPr>
      </w:pPr>
      <w:r w:rsidRPr="004412F1">
        <w:rPr>
          <w:strike/>
        </w:rPr>
        <w:t>G</w:t>
      </w:r>
      <w:r w:rsidR="008A2691" w:rsidRPr="004412F1">
        <w:rPr>
          <w:strike/>
        </w:rPr>
        <w:t>i</w:t>
      </w:r>
      <w:r w:rsidRPr="004412F1">
        <w:rPr>
          <w:strike/>
        </w:rPr>
        <w:t>ni coefficient</w:t>
      </w:r>
    </w:p>
    <w:p w14:paraId="6E6768C7" w14:textId="2E314D8B" w:rsidR="00C26488" w:rsidRPr="002D5274" w:rsidRDefault="00C26488" w:rsidP="00B70678">
      <w:pPr>
        <w:pStyle w:val="ListParagraph"/>
        <w:numPr>
          <w:ilvl w:val="0"/>
          <w:numId w:val="2"/>
        </w:numPr>
        <w:rPr>
          <w:strike/>
        </w:rPr>
      </w:pPr>
      <w:r w:rsidRPr="002D5274">
        <w:rPr>
          <w:strike/>
        </w:rPr>
        <w:t>Governance rating?</w:t>
      </w:r>
    </w:p>
    <w:p w14:paraId="34788B17" w14:textId="6B901F06" w:rsidR="00FD7A53" w:rsidRPr="002D5274" w:rsidRDefault="00FD7A53" w:rsidP="00FD7A53">
      <w:pPr>
        <w:pStyle w:val="ListParagraph"/>
        <w:numPr>
          <w:ilvl w:val="0"/>
          <w:numId w:val="2"/>
        </w:numPr>
        <w:rPr>
          <w:strike/>
        </w:rPr>
      </w:pPr>
      <w:r w:rsidRPr="002D5274">
        <w:rPr>
          <w:strike/>
        </w:rPr>
        <w:t>Ventilators?</w:t>
      </w:r>
    </w:p>
    <w:p w14:paraId="010D5F1B" w14:textId="03EEC015" w:rsidR="00C116D3" w:rsidRPr="00FD7A53" w:rsidRDefault="00C116D3" w:rsidP="00B70678">
      <w:pPr>
        <w:pStyle w:val="ListParagraph"/>
        <w:numPr>
          <w:ilvl w:val="0"/>
          <w:numId w:val="2"/>
        </w:numPr>
        <w:rPr>
          <w:strike/>
        </w:rPr>
      </w:pPr>
      <w:r w:rsidRPr="00FD7A53">
        <w:rPr>
          <w:strike/>
        </w:rPr>
        <w:t>Dummy variable for continent</w:t>
      </w:r>
    </w:p>
    <w:p w14:paraId="794B8AB7" w14:textId="62158B4F" w:rsidR="004412F1" w:rsidRPr="004412F1" w:rsidRDefault="004412F1" w:rsidP="004412F1"/>
    <w:p w14:paraId="6F8E4737" w14:textId="1AE1E54A" w:rsidR="004412F1" w:rsidRPr="004412F1" w:rsidRDefault="0087300E" w:rsidP="004412F1">
      <w:r>
        <w:t>Days since 100 confirmed cases</w:t>
      </w:r>
    </w:p>
    <w:p w14:paraId="2E7177D4" w14:textId="520EB91C" w:rsidR="004412F1" w:rsidRPr="004412F1" w:rsidRDefault="004412F1" w:rsidP="004412F1"/>
    <w:p w14:paraId="19E050C0" w14:textId="55A68A3C" w:rsidR="004412F1" w:rsidRPr="004412F1" w:rsidRDefault="008F5B91" w:rsidP="004412F1">
      <w:hyperlink r:id="rId5" w:history="1">
        <w:r>
          <w:rPr>
            <w:rStyle w:val="Hyperlink"/>
          </w:rPr>
          <w:t>https://www.bloomberg.com/opinion/articles/2020-04-11/coronavirus-this-pandemic-will-lead-to-social-revolutions</w:t>
        </w:r>
      </w:hyperlink>
    </w:p>
    <w:p w14:paraId="3CE6AC45" w14:textId="786BA33D" w:rsidR="004412F1" w:rsidRPr="004412F1" w:rsidRDefault="004412F1" w:rsidP="004412F1"/>
    <w:p w14:paraId="546242A3" w14:textId="58A33B35" w:rsidR="004412F1" w:rsidRDefault="004412F1" w:rsidP="004412F1"/>
    <w:p w14:paraId="092351D9" w14:textId="2B07B365" w:rsidR="004412F1" w:rsidRDefault="004412F1" w:rsidP="004412F1"/>
    <w:p w14:paraId="617A010E" w14:textId="20876E59" w:rsidR="004412F1" w:rsidRDefault="004412F1" w:rsidP="004412F1"/>
    <w:p w14:paraId="06A11444" w14:textId="6C933690" w:rsidR="004412F1" w:rsidRDefault="004412F1" w:rsidP="004412F1"/>
    <w:p w14:paraId="7CE175E8" w14:textId="77777777" w:rsidR="008C53C0" w:rsidRDefault="004412F1" w:rsidP="008C53C0">
      <w:pPr>
        <w:rPr>
          <w:b/>
          <w:bCs/>
          <w:u w:val="single"/>
        </w:rPr>
      </w:pPr>
      <w:r>
        <w:rPr>
          <w:b/>
          <w:bCs/>
          <w:u w:val="single"/>
        </w:rPr>
        <w:t>Sources</w:t>
      </w:r>
    </w:p>
    <w:p w14:paraId="082FD03C" w14:textId="77777777" w:rsidR="008C53C0" w:rsidRDefault="008C53C0" w:rsidP="008C53C0">
      <w:hyperlink r:id="rId6" w:history="1">
        <w:r>
          <w:rPr>
            <w:rStyle w:val="Hyperlink"/>
          </w:rPr>
          <w:t>https://data-worldbank-org.proxy.library.upenn.edu/</w:t>
        </w:r>
      </w:hyperlink>
    </w:p>
    <w:p w14:paraId="6418D555" w14:textId="6F3610CF" w:rsidR="00A05A6A" w:rsidRDefault="00A05A6A" w:rsidP="008C53C0">
      <w:pPr>
        <w:rPr>
          <w:rFonts w:ascii="Calibri" w:eastAsia="Times New Roman" w:hAnsi="Calibri" w:cs="Calibri"/>
          <w:color w:val="000000"/>
        </w:rPr>
      </w:pPr>
      <w:r w:rsidRPr="00A05A6A">
        <w:rPr>
          <w:rFonts w:ascii="Calibri" w:eastAsia="Times New Roman" w:hAnsi="Calibri" w:cs="Calibri"/>
          <w:color w:val="000000"/>
        </w:rPr>
        <w:t xml:space="preserve">Gini index measures the extent to which the distribution of income (or, in some cases, consumption expenditure) among individuals or households within an economy deviates from a perfectly equal distribution. A Lorenz curve plots the cumulative percentages of total income received against the cumulative number of recipients, starting with the poorest individual or household. The Gini index measures the area between the Lorenz curve and a hypothetical line of absolute equality, expressed as a percentage of the maximum area under the line. </w:t>
      </w:r>
      <w:proofErr w:type="gramStart"/>
      <w:r w:rsidRPr="00A05A6A">
        <w:rPr>
          <w:rFonts w:ascii="Calibri" w:eastAsia="Times New Roman" w:hAnsi="Calibri" w:cs="Calibri"/>
          <w:color w:val="000000"/>
        </w:rPr>
        <w:t>Thus</w:t>
      </w:r>
      <w:proofErr w:type="gramEnd"/>
      <w:r w:rsidRPr="00A05A6A">
        <w:rPr>
          <w:rFonts w:ascii="Calibri" w:eastAsia="Times New Roman" w:hAnsi="Calibri" w:cs="Calibri"/>
          <w:color w:val="000000"/>
        </w:rPr>
        <w:t xml:space="preserve"> a Gini index of 0 represents perfect equality, while an index of 100 implies perfect inequality.</w:t>
      </w:r>
    </w:p>
    <w:p w14:paraId="23E4E934" w14:textId="77777777" w:rsidR="0048464E" w:rsidRDefault="0048464E" w:rsidP="00A05A6A">
      <w:pPr>
        <w:spacing w:after="0" w:line="240" w:lineRule="auto"/>
        <w:rPr>
          <w:rFonts w:ascii="Calibri" w:eastAsia="Times New Roman" w:hAnsi="Calibri" w:cs="Calibri"/>
          <w:color w:val="000000"/>
        </w:rPr>
      </w:pPr>
    </w:p>
    <w:p w14:paraId="4F7046C0" w14:textId="77777777" w:rsidR="0048464E" w:rsidRPr="0048464E" w:rsidRDefault="0048464E" w:rsidP="0048464E">
      <w:pPr>
        <w:spacing w:after="0" w:line="240" w:lineRule="auto"/>
        <w:rPr>
          <w:rFonts w:ascii="Calibri" w:eastAsia="Times New Roman" w:hAnsi="Calibri" w:cs="Calibri"/>
          <w:color w:val="000000"/>
        </w:rPr>
      </w:pPr>
      <w:r w:rsidRPr="0048464E">
        <w:rPr>
          <w:rFonts w:ascii="Calibri" w:eastAsia="Times New Roman" w:hAnsi="Calibri" w:cs="Calibri"/>
          <w:color w:val="000000"/>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26AA81C6" w14:textId="3346A5DA" w:rsidR="0048464E" w:rsidRDefault="0048464E" w:rsidP="00A05A6A">
      <w:pPr>
        <w:spacing w:after="0" w:line="240" w:lineRule="auto"/>
        <w:rPr>
          <w:rFonts w:ascii="Calibri" w:eastAsia="Times New Roman" w:hAnsi="Calibri" w:cs="Calibri"/>
          <w:color w:val="000000"/>
        </w:rPr>
      </w:pPr>
    </w:p>
    <w:p w14:paraId="4DF44142" w14:textId="77777777" w:rsidR="008C53C0" w:rsidRPr="008C53C0" w:rsidRDefault="008C53C0" w:rsidP="008C53C0">
      <w:pPr>
        <w:spacing w:after="0" w:line="240" w:lineRule="auto"/>
        <w:rPr>
          <w:rFonts w:ascii="Calibri" w:eastAsia="Times New Roman" w:hAnsi="Calibri" w:cs="Calibri"/>
          <w:color w:val="000000"/>
        </w:rPr>
      </w:pPr>
      <w:r w:rsidRPr="008C53C0">
        <w:rPr>
          <w:rFonts w:ascii="Calibri" w:eastAsia="Times New Roman" w:hAnsi="Calibri" w:cs="Calibri"/>
          <w:color w:val="000000"/>
        </w:rPr>
        <w:t>Life expectancy at birth, total (years)</w:t>
      </w:r>
    </w:p>
    <w:p w14:paraId="38556494" w14:textId="2E787172" w:rsidR="008C53C0" w:rsidRPr="00A05A6A" w:rsidRDefault="008C53C0" w:rsidP="008C53C0">
      <w:pPr>
        <w:spacing w:after="0" w:line="240" w:lineRule="auto"/>
        <w:rPr>
          <w:rFonts w:ascii="Calibri" w:eastAsia="Times New Roman" w:hAnsi="Calibri" w:cs="Calibri"/>
          <w:color w:val="000000"/>
        </w:rPr>
      </w:pPr>
      <w:proofErr w:type="gramStart"/>
      <w:r w:rsidRPr="008C53C0">
        <w:rPr>
          <w:rFonts w:ascii="Calibri" w:eastAsia="Times New Roman" w:hAnsi="Calibri" w:cs="Calibri"/>
          <w:color w:val="000000"/>
        </w:rPr>
        <w:t>( 1</w:t>
      </w:r>
      <w:proofErr w:type="gramEnd"/>
      <w:r w:rsidRPr="008C53C0">
        <w:rPr>
          <w:rFonts w:ascii="Calibri" w:eastAsia="Times New Roman" w:hAnsi="Calibri" w:cs="Calibri"/>
          <w:color w:val="000000"/>
        </w:rPr>
        <w:t xml:space="preserve"> ) United Nations Population Division. World Population Prospects: 2019 Revision, or derived from male and female life expectancy at birth from sources such as: </w:t>
      </w:r>
      <w:proofErr w:type="gramStart"/>
      <w:r w:rsidRPr="008C53C0">
        <w:rPr>
          <w:rFonts w:ascii="Calibri" w:eastAsia="Times New Roman" w:hAnsi="Calibri" w:cs="Calibri"/>
          <w:color w:val="000000"/>
        </w:rPr>
        <w:t>( 2</w:t>
      </w:r>
      <w:proofErr w:type="gramEnd"/>
      <w:r w:rsidRPr="008C53C0">
        <w:rPr>
          <w:rFonts w:ascii="Calibri" w:eastAsia="Times New Roman" w:hAnsi="Calibri" w:cs="Calibri"/>
          <w:color w:val="000000"/>
        </w:rPr>
        <w:t xml:space="preserve"> ) Census reports and other statistical publications from national statistical offices, ( 3 ) Eurostat: Demographic Statistics, ( 4 ) United Nations Statistical Division. Population and Vital Statistics </w:t>
      </w:r>
      <w:proofErr w:type="spellStart"/>
      <w:r w:rsidRPr="008C53C0">
        <w:rPr>
          <w:rFonts w:ascii="Calibri" w:eastAsia="Times New Roman" w:hAnsi="Calibri" w:cs="Calibri"/>
          <w:color w:val="000000"/>
        </w:rPr>
        <w:t>Reprot</w:t>
      </w:r>
      <w:proofErr w:type="spellEnd"/>
      <w:r w:rsidRPr="008C53C0">
        <w:rPr>
          <w:rFonts w:ascii="Calibri" w:eastAsia="Times New Roman" w:hAnsi="Calibri" w:cs="Calibri"/>
          <w:color w:val="000000"/>
        </w:rPr>
        <w:t xml:space="preserve"> </w:t>
      </w:r>
      <w:proofErr w:type="gramStart"/>
      <w:r w:rsidRPr="008C53C0">
        <w:rPr>
          <w:rFonts w:ascii="Calibri" w:eastAsia="Times New Roman" w:hAnsi="Calibri" w:cs="Calibri"/>
          <w:color w:val="000000"/>
        </w:rPr>
        <w:t>( various</w:t>
      </w:r>
      <w:proofErr w:type="gramEnd"/>
      <w:r w:rsidRPr="008C53C0">
        <w:rPr>
          <w:rFonts w:ascii="Calibri" w:eastAsia="Times New Roman" w:hAnsi="Calibri" w:cs="Calibri"/>
          <w:color w:val="000000"/>
        </w:rPr>
        <w:t xml:space="preserve"> years ), ( 5 ) U.S. Census Bureau: International Database, and ( 6 ) Secretariat of the Pacific Community: Statistics and Demography </w:t>
      </w:r>
      <w:proofErr w:type="spellStart"/>
      <w:r w:rsidRPr="008C53C0">
        <w:rPr>
          <w:rFonts w:ascii="Calibri" w:eastAsia="Times New Roman" w:hAnsi="Calibri" w:cs="Calibri"/>
          <w:color w:val="000000"/>
        </w:rPr>
        <w:t>Programme</w:t>
      </w:r>
      <w:proofErr w:type="spellEnd"/>
      <w:r w:rsidRPr="008C53C0">
        <w:rPr>
          <w:rFonts w:ascii="Calibri" w:eastAsia="Times New Roman" w:hAnsi="Calibri" w:cs="Calibri"/>
          <w:color w:val="000000"/>
        </w:rPr>
        <w:t>.</w:t>
      </w:r>
    </w:p>
    <w:p w14:paraId="0D951E1B" w14:textId="77777777" w:rsidR="008C53C0" w:rsidRDefault="008C53C0" w:rsidP="008C53C0">
      <w:pPr>
        <w:spacing w:after="0" w:line="240" w:lineRule="auto"/>
        <w:rPr>
          <w:rFonts w:ascii="Calibri" w:eastAsia="Times New Roman" w:hAnsi="Calibri" w:cs="Calibri"/>
          <w:color w:val="000000"/>
        </w:rPr>
      </w:pPr>
    </w:p>
    <w:p w14:paraId="12F42090" w14:textId="3A91FC9E" w:rsidR="008C53C0" w:rsidRPr="008C53C0" w:rsidRDefault="008C53C0" w:rsidP="008C53C0">
      <w:pPr>
        <w:spacing w:after="0" w:line="240" w:lineRule="auto"/>
        <w:rPr>
          <w:rFonts w:ascii="Calibri" w:eastAsia="Times New Roman" w:hAnsi="Calibri" w:cs="Calibri"/>
          <w:color w:val="000000"/>
        </w:rPr>
      </w:pPr>
      <w:r w:rsidRPr="008C53C0">
        <w:rPr>
          <w:rFonts w:ascii="Calibri" w:eastAsia="Times New Roman" w:hAnsi="Calibri" w:cs="Calibri"/>
          <w:color w:val="000000"/>
        </w:rPr>
        <w:t>Population ages 65 and above as a percentage of the total population. Population is based on the de facto definition of population, which counts all residents regardless of legal status or citizenship.</w:t>
      </w:r>
    </w:p>
    <w:p w14:paraId="7A3ECF9E" w14:textId="77777777" w:rsidR="008C53C0" w:rsidRDefault="008C53C0" w:rsidP="008C53C0">
      <w:pPr>
        <w:spacing w:after="0" w:line="240" w:lineRule="auto"/>
        <w:rPr>
          <w:rFonts w:ascii="Calibri" w:eastAsia="Times New Roman" w:hAnsi="Calibri" w:cs="Calibri"/>
          <w:color w:val="000000"/>
        </w:rPr>
      </w:pPr>
    </w:p>
    <w:p w14:paraId="3A364A76" w14:textId="4FD35A5F" w:rsidR="008C53C0" w:rsidRPr="008C53C0" w:rsidRDefault="008C53C0" w:rsidP="008C53C0">
      <w:pPr>
        <w:spacing w:after="0" w:line="240" w:lineRule="auto"/>
        <w:rPr>
          <w:rFonts w:ascii="Calibri" w:eastAsia="Times New Roman" w:hAnsi="Calibri" w:cs="Calibri"/>
          <w:color w:val="000000"/>
        </w:rPr>
      </w:pPr>
      <w:r w:rsidRPr="008C53C0">
        <w:rPr>
          <w:rFonts w:ascii="Calibri" w:eastAsia="Times New Roman" w:hAnsi="Calibri" w:cs="Calibri"/>
          <w:color w:val="000000"/>
        </w:rPr>
        <w:t>Population density is midyear population divided by land area in square kilometers. Population is based on the de facto definition of population, which counts all residents regardless of legal status or citizenship--except for refugees not permanently settled in the country of asylum, who are generally considered part of the population of their country of origin. Land area is a country's total area, excluding area under inland water bodies, national claims to continental shelf, and exclusive economic zones. In most cases the definition of inland water bodies includes major rivers and lakes.</w:t>
      </w:r>
    </w:p>
    <w:p w14:paraId="15D45B09" w14:textId="6008B8E5" w:rsidR="008C53C0" w:rsidRDefault="008C53C0" w:rsidP="004412F1"/>
    <w:p w14:paraId="46E89681" w14:textId="7E25A45F" w:rsidR="008C53C0" w:rsidRDefault="008C53C0" w:rsidP="008C53C0">
      <w:pPr>
        <w:rPr>
          <w:rFonts w:ascii="Calibri" w:eastAsia="Times New Roman" w:hAnsi="Calibri" w:cs="Calibri"/>
          <w:color w:val="000000"/>
        </w:rPr>
      </w:pPr>
      <w:r w:rsidRPr="008C53C0">
        <w:rPr>
          <w:rFonts w:ascii="Calibri" w:eastAsia="Times New Roman" w:hAnsi="Calibri" w:cs="Calibri"/>
          <w:color w:val="000000"/>
        </w:rPr>
        <w:t>Total population is based on the de facto definition of population, which counts all residents regardless of legal status or citizenship. The values shown are midyear estimates.</w:t>
      </w:r>
      <w:r>
        <w:rPr>
          <w:rFonts w:ascii="Calibri" w:eastAsia="Times New Roman" w:hAnsi="Calibri" w:cs="Calibri"/>
          <w:color w:val="000000"/>
        </w:rPr>
        <w:t xml:space="preserve"> </w:t>
      </w:r>
      <w:r w:rsidRPr="008C53C0">
        <w:rPr>
          <w:rFonts w:ascii="Calibri" w:eastAsia="Times New Roman" w:hAnsi="Calibri" w:cs="Calibri"/>
          <w:color w:val="000000"/>
        </w:rPr>
        <w:t xml:space="preserve">(1) United Nations Population Division. World Population Prospects: 2019 Revision. (2) Census reports and other statistical publications from national statistical offices, (3) Eurostat: Demographic Statistics, (4) United Nations Statistical Division. Population and Vital Statistics </w:t>
      </w:r>
      <w:proofErr w:type="spellStart"/>
      <w:r w:rsidRPr="008C53C0">
        <w:rPr>
          <w:rFonts w:ascii="Calibri" w:eastAsia="Times New Roman" w:hAnsi="Calibri" w:cs="Calibri"/>
          <w:color w:val="000000"/>
        </w:rPr>
        <w:t>Reprot</w:t>
      </w:r>
      <w:proofErr w:type="spellEnd"/>
      <w:r w:rsidRPr="008C53C0">
        <w:rPr>
          <w:rFonts w:ascii="Calibri" w:eastAsia="Times New Roman" w:hAnsi="Calibri" w:cs="Calibri"/>
          <w:color w:val="000000"/>
        </w:rPr>
        <w:t xml:space="preserve"> (various years), (5) U.S. Census Bureau: International Database, and (6) Secretariat of the Pacific Community: Statistics and Demography </w:t>
      </w:r>
      <w:proofErr w:type="spellStart"/>
      <w:r w:rsidRPr="008C53C0">
        <w:rPr>
          <w:rFonts w:ascii="Calibri" w:eastAsia="Times New Roman" w:hAnsi="Calibri" w:cs="Calibri"/>
          <w:color w:val="000000"/>
        </w:rPr>
        <w:t>Programme</w:t>
      </w:r>
      <w:proofErr w:type="spellEnd"/>
      <w:r w:rsidRPr="008C53C0">
        <w:rPr>
          <w:rFonts w:ascii="Calibri" w:eastAsia="Times New Roman" w:hAnsi="Calibri" w:cs="Calibri"/>
          <w:color w:val="000000"/>
        </w:rPr>
        <w:t>.</w:t>
      </w:r>
    </w:p>
    <w:p w14:paraId="0805BE97" w14:textId="77777777" w:rsidR="00D17108" w:rsidRPr="00D17108" w:rsidRDefault="00D17108" w:rsidP="00D17108">
      <w:pPr>
        <w:spacing w:after="0" w:line="240" w:lineRule="auto"/>
        <w:rPr>
          <w:rFonts w:ascii="Calibri" w:eastAsia="Times New Roman" w:hAnsi="Calibri" w:cs="Calibri"/>
          <w:color w:val="000000"/>
        </w:rPr>
      </w:pPr>
      <w:r w:rsidRPr="00D17108">
        <w:rPr>
          <w:rFonts w:ascii="Calibri" w:eastAsia="Times New Roman" w:hAnsi="Calibri" w:cs="Calibri"/>
          <w:color w:val="000000"/>
        </w:rPr>
        <w:t>Population in largest city is the urban population living in the country's largest metropolitan area.</w:t>
      </w:r>
    </w:p>
    <w:p w14:paraId="051FDD4E" w14:textId="5F6D6B0A" w:rsidR="00D17108" w:rsidRDefault="00D17108" w:rsidP="008C53C0">
      <w:pPr>
        <w:rPr>
          <w:rFonts w:ascii="Calibri" w:eastAsia="Times New Roman" w:hAnsi="Calibri" w:cs="Calibri"/>
          <w:color w:val="000000"/>
        </w:rPr>
      </w:pPr>
    </w:p>
    <w:p w14:paraId="73865D74" w14:textId="0CCD6ADB" w:rsidR="00D17108" w:rsidRDefault="00D17108" w:rsidP="00D17108">
      <w:pPr>
        <w:spacing w:after="0" w:line="240" w:lineRule="auto"/>
        <w:rPr>
          <w:rFonts w:ascii="Calibri" w:eastAsia="Times New Roman" w:hAnsi="Calibri" w:cs="Calibri"/>
          <w:color w:val="000000"/>
        </w:rPr>
      </w:pPr>
      <w:r w:rsidRPr="00D17108">
        <w:rPr>
          <w:rFonts w:ascii="Calibri" w:eastAsia="Times New Roman" w:hAnsi="Calibri" w:cs="Calibri"/>
          <w:color w:val="000000"/>
        </w:rPr>
        <w:lastRenderedPageBreak/>
        <w:t>Population in largest city is the percentage of a country's urban population living in that country's largest metropolitan area.</w:t>
      </w:r>
    </w:p>
    <w:p w14:paraId="3F8917D2" w14:textId="77777777" w:rsidR="00427E56" w:rsidRDefault="00427E56" w:rsidP="00D17108">
      <w:pPr>
        <w:spacing w:after="0" w:line="240" w:lineRule="auto"/>
        <w:rPr>
          <w:rFonts w:ascii="Calibri" w:eastAsia="Times New Roman" w:hAnsi="Calibri" w:cs="Calibri"/>
          <w:color w:val="000000"/>
        </w:rPr>
      </w:pPr>
    </w:p>
    <w:p w14:paraId="04945D49" w14:textId="780162A0" w:rsidR="00D17108" w:rsidRDefault="00D17108" w:rsidP="00D17108">
      <w:pPr>
        <w:rPr>
          <w:rFonts w:ascii="Calibri" w:eastAsia="Times New Roman" w:hAnsi="Calibri" w:cs="Calibri"/>
          <w:color w:val="000000"/>
        </w:rPr>
      </w:pPr>
      <w:r w:rsidRPr="00D17108">
        <w:rPr>
          <w:rFonts w:ascii="Calibri" w:eastAsia="Times New Roman" w:hAnsi="Calibri" w:cs="Calibri"/>
          <w:color w:val="000000"/>
        </w:rPr>
        <w:t>Hospital beds include inpatient beds available in public, private, general, and specialized hospitals and rehabilitation centers. In most cases beds for both acute and chronic care are included.</w:t>
      </w:r>
      <w:r>
        <w:rPr>
          <w:rFonts w:ascii="Calibri" w:eastAsia="Times New Roman" w:hAnsi="Calibri" w:cs="Calibri"/>
          <w:color w:val="000000"/>
        </w:rPr>
        <w:t xml:space="preserve"> </w:t>
      </w:r>
      <w:r w:rsidRPr="00D17108">
        <w:rPr>
          <w:rFonts w:ascii="Calibri" w:eastAsia="Times New Roman" w:hAnsi="Calibri" w:cs="Calibri"/>
          <w:color w:val="000000"/>
        </w:rPr>
        <w:t>Data are from the World Health Organization, supplemented by country data.</w:t>
      </w:r>
    </w:p>
    <w:p w14:paraId="384FC40F" w14:textId="63D69551" w:rsidR="00F448EA" w:rsidRDefault="00F448EA" w:rsidP="00F448EA">
      <w:pPr>
        <w:rPr>
          <w:rFonts w:ascii="Calibri" w:eastAsia="Times New Roman" w:hAnsi="Calibri" w:cs="Calibri"/>
          <w:color w:val="000000"/>
        </w:rPr>
      </w:pPr>
      <w:r w:rsidRPr="00F448EA">
        <w:rPr>
          <w:rFonts w:ascii="Calibri" w:eastAsia="Times New Roman" w:hAnsi="Calibri" w:cs="Calibri"/>
          <w:color w:val="000000"/>
        </w:rPr>
        <w:t>Physicians include generalist and specialist medical practitioners.</w:t>
      </w:r>
      <w:r>
        <w:rPr>
          <w:rFonts w:ascii="Calibri" w:eastAsia="Times New Roman" w:hAnsi="Calibri" w:cs="Calibri"/>
          <w:color w:val="000000"/>
        </w:rPr>
        <w:t xml:space="preserve"> </w:t>
      </w:r>
      <w:r w:rsidRPr="00F448EA">
        <w:rPr>
          <w:rFonts w:ascii="Calibri" w:eastAsia="Times New Roman" w:hAnsi="Calibri" w:cs="Calibri"/>
          <w:color w:val="000000"/>
        </w:rPr>
        <w:t>World Health Organization's Global Health Workforce Statistics, OECD, supplemented by country data.</w:t>
      </w:r>
    </w:p>
    <w:p w14:paraId="3C0085C4" w14:textId="63BF8DF3" w:rsidR="009A76D7" w:rsidRDefault="009A76D7" w:rsidP="009A76D7">
      <w:pPr>
        <w:spacing w:after="0" w:line="240" w:lineRule="auto"/>
        <w:rPr>
          <w:rFonts w:ascii="Calibri" w:eastAsia="Times New Roman" w:hAnsi="Calibri" w:cs="Calibri"/>
          <w:color w:val="000000"/>
        </w:rPr>
      </w:pPr>
      <w:r w:rsidRPr="009A76D7">
        <w:rPr>
          <w:rFonts w:ascii="Calibri" w:eastAsia="Times New Roman" w:hAnsi="Calibri" w:cs="Calibri"/>
          <w:color w:val="000000"/>
        </w:rPr>
        <w:t>Diabetes prevalence refers to the percentage of people ages 20-79 who have type 1 or type 2 diabetes.</w:t>
      </w:r>
      <w:r>
        <w:rPr>
          <w:rFonts w:ascii="Calibri" w:eastAsia="Times New Roman" w:hAnsi="Calibri" w:cs="Calibri"/>
          <w:color w:val="000000"/>
        </w:rPr>
        <w:t xml:space="preserve"> </w:t>
      </w:r>
      <w:r w:rsidRPr="009A76D7">
        <w:rPr>
          <w:rFonts w:ascii="Calibri" w:eastAsia="Times New Roman" w:hAnsi="Calibri" w:cs="Calibri"/>
          <w:color w:val="000000"/>
        </w:rPr>
        <w:t>International Diabetes Federation, Diabetes Atlas.</w:t>
      </w:r>
    </w:p>
    <w:p w14:paraId="46B59C36" w14:textId="4036A3E6" w:rsidR="00A732F7" w:rsidRDefault="00A732F7" w:rsidP="009A76D7">
      <w:pPr>
        <w:spacing w:after="0" w:line="240" w:lineRule="auto"/>
        <w:rPr>
          <w:rFonts w:ascii="Calibri" w:eastAsia="Times New Roman" w:hAnsi="Calibri" w:cs="Calibri"/>
          <w:color w:val="000000"/>
        </w:rPr>
      </w:pPr>
    </w:p>
    <w:p w14:paraId="0FB6B632" w14:textId="63BCF6B3" w:rsidR="00A732F7" w:rsidRDefault="00A732F7" w:rsidP="00A732F7">
      <w:pPr>
        <w:rPr>
          <w:rFonts w:ascii="Calibri" w:eastAsia="Times New Roman" w:hAnsi="Calibri" w:cs="Calibri"/>
          <w:color w:val="000000"/>
        </w:rPr>
      </w:pPr>
      <w:r w:rsidRPr="00A732F7">
        <w:rPr>
          <w:rFonts w:ascii="Calibri" w:eastAsia="Times New Roman" w:hAnsi="Calibri" w:cs="Calibri"/>
          <w:color w:val="000000"/>
        </w:rPr>
        <w:t>Cause of death refers to the share of all deaths for all ages by underlying causes. Non-communicable diseases include cancer, diabetes mellitus, cardiovascular diseases, digestive diseases, skin diseases, musculoskeletal diseases, and congenital anomalies.</w:t>
      </w:r>
      <w:r>
        <w:rPr>
          <w:rFonts w:ascii="Calibri" w:eastAsia="Times New Roman" w:hAnsi="Calibri" w:cs="Calibri"/>
          <w:color w:val="000000"/>
        </w:rPr>
        <w:t xml:space="preserve"> </w:t>
      </w:r>
      <w:r w:rsidRPr="00A732F7">
        <w:rPr>
          <w:rFonts w:ascii="Calibri" w:eastAsia="Times New Roman" w:hAnsi="Calibri" w:cs="Calibri"/>
          <w:color w:val="000000"/>
        </w:rPr>
        <w:t>Derived based on the data from WHO's Global Health Estimates.</w:t>
      </w:r>
    </w:p>
    <w:p w14:paraId="7FE17244" w14:textId="77777777" w:rsidR="00387337" w:rsidRPr="00387337" w:rsidRDefault="00387337" w:rsidP="00387337">
      <w:pPr>
        <w:spacing w:after="0" w:line="240" w:lineRule="auto"/>
        <w:rPr>
          <w:rFonts w:ascii="Calibri" w:eastAsia="Times New Roman" w:hAnsi="Calibri" w:cs="Calibri"/>
          <w:color w:val="000000"/>
        </w:rPr>
      </w:pPr>
      <w:r w:rsidRPr="00387337">
        <w:rPr>
          <w:rFonts w:ascii="Calibri" w:eastAsia="Times New Roman" w:hAnsi="Calibri" w:cs="Calibri"/>
          <w:color w:val="000000"/>
        </w:rPr>
        <w:t>Cause of death refers to the share of all deaths for all ages by underlying causes. Communicable diseases and maternal, prenatal and nutrition conditions include infectious and parasitic diseases, respiratory infections, and nutritional deficiencies such as underweight and stunting.</w:t>
      </w:r>
    </w:p>
    <w:p w14:paraId="4AA0AB56" w14:textId="77777777" w:rsidR="00387337" w:rsidRDefault="00387337" w:rsidP="00A732F7">
      <w:pPr>
        <w:rPr>
          <w:rFonts w:ascii="Calibri" w:eastAsia="Times New Roman" w:hAnsi="Calibri" w:cs="Calibri"/>
          <w:color w:val="000000"/>
        </w:rPr>
      </w:pPr>
    </w:p>
    <w:p w14:paraId="361A57A7" w14:textId="06E99909" w:rsidR="00A732F7" w:rsidRPr="00A732F7" w:rsidRDefault="00A732F7" w:rsidP="00A732F7">
      <w:pPr>
        <w:rPr>
          <w:rFonts w:ascii="Calibri" w:eastAsia="Times New Roman" w:hAnsi="Calibri" w:cs="Calibri"/>
          <w:color w:val="000000"/>
        </w:rPr>
      </w:pPr>
      <w:r w:rsidRPr="00A732F7">
        <w:rPr>
          <w:rFonts w:ascii="Calibri" w:eastAsia="Times New Roman" w:hAnsi="Calibri" w:cs="Calibri"/>
          <w:color w:val="000000"/>
        </w:rPr>
        <w:t>Adjusted net national income is GNI minus consumption of fixed capital and natural resources depletion.</w:t>
      </w:r>
      <w:r>
        <w:rPr>
          <w:rFonts w:ascii="Calibri" w:eastAsia="Times New Roman" w:hAnsi="Calibri" w:cs="Calibri"/>
          <w:color w:val="000000"/>
        </w:rPr>
        <w:t xml:space="preserve"> </w:t>
      </w:r>
      <w:r w:rsidRPr="00A732F7">
        <w:rPr>
          <w:rFonts w:ascii="Calibri" w:eastAsia="Times New Roman" w:hAnsi="Calibri" w:cs="Calibri"/>
          <w:color w:val="000000"/>
        </w:rPr>
        <w:t>World Bank staff estimates based on sources and methods in World Bank's "The Changing Wealth of Nations: Measuring Sustainable Development in the New Millennium" (2011).</w:t>
      </w:r>
    </w:p>
    <w:p w14:paraId="165C0E3C" w14:textId="649AC9F8" w:rsidR="002D5274" w:rsidRPr="002D5274" w:rsidRDefault="002D5274" w:rsidP="002D5274">
      <w:pPr>
        <w:rPr>
          <w:rFonts w:ascii="Calibri" w:eastAsia="Times New Roman" w:hAnsi="Calibri" w:cs="Calibri"/>
          <w:color w:val="000000"/>
        </w:rPr>
      </w:pPr>
      <w:r w:rsidRPr="002D5274">
        <w:rPr>
          <w:rFonts w:ascii="Calibri" w:eastAsia="Times New Roman" w:hAnsi="Calibri" w:cs="Calibri"/>
          <w:color w:val="000000"/>
        </w:rPr>
        <w:t>Current expenditures on health per capita in current US dollars. Estimates of current health expenditures include healthcare goods and services consumed during each year.</w:t>
      </w:r>
      <w:r>
        <w:rPr>
          <w:rFonts w:ascii="Calibri" w:eastAsia="Times New Roman" w:hAnsi="Calibri" w:cs="Calibri"/>
          <w:color w:val="000000"/>
        </w:rPr>
        <w:t xml:space="preserve"> </w:t>
      </w:r>
      <w:r w:rsidRPr="002D5274">
        <w:rPr>
          <w:rFonts w:ascii="Calibri" w:eastAsia="Times New Roman" w:hAnsi="Calibri" w:cs="Calibri"/>
          <w:color w:val="000000"/>
        </w:rPr>
        <w:t>World Health Organization Global Health Expenditure database (http://apps.who.int/nha/database).</w:t>
      </w:r>
    </w:p>
    <w:tbl>
      <w:tblPr>
        <w:tblW w:w="9360" w:type="dxa"/>
        <w:tblLook w:val="04A0" w:firstRow="1" w:lastRow="0" w:firstColumn="1" w:lastColumn="0" w:noHBand="0" w:noVBand="1"/>
      </w:tblPr>
      <w:tblGrid>
        <w:gridCol w:w="9360"/>
      </w:tblGrid>
      <w:tr w:rsidR="002D5274" w:rsidRPr="002D5274" w14:paraId="7C725FAB" w14:textId="77777777" w:rsidTr="002D5274">
        <w:trPr>
          <w:trHeight w:val="290"/>
        </w:trPr>
        <w:tc>
          <w:tcPr>
            <w:tcW w:w="9360" w:type="dxa"/>
            <w:tcBorders>
              <w:top w:val="nil"/>
              <w:left w:val="nil"/>
              <w:bottom w:val="nil"/>
              <w:right w:val="nil"/>
            </w:tcBorders>
            <w:shd w:val="clear" w:color="auto" w:fill="auto"/>
            <w:noWrap/>
            <w:vAlign w:val="bottom"/>
            <w:hideMark/>
          </w:tcPr>
          <w:p w14:paraId="317F51D0"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t>Control of Corruption captures perceptions of the extent to which public power is exercised for private gain, including both petty and grand forms of corruption, as well as capture" of the state by elites and private interests.  Percentile rank indicates the country's rank among all countries covered by the aggregate indicator</w:t>
            </w:r>
          </w:p>
        </w:tc>
      </w:tr>
      <w:tr w:rsidR="002D5274" w:rsidRPr="002D5274" w14:paraId="373C0214" w14:textId="77777777" w:rsidTr="002D5274">
        <w:trPr>
          <w:trHeight w:val="290"/>
        </w:trPr>
        <w:tc>
          <w:tcPr>
            <w:tcW w:w="9360" w:type="dxa"/>
            <w:tcBorders>
              <w:top w:val="nil"/>
              <w:left w:val="nil"/>
              <w:bottom w:val="nil"/>
              <w:right w:val="nil"/>
            </w:tcBorders>
            <w:shd w:val="clear" w:color="auto" w:fill="auto"/>
            <w:noWrap/>
            <w:vAlign w:val="bottom"/>
            <w:hideMark/>
          </w:tcPr>
          <w:p w14:paraId="4ACD0B6C"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t>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 Percentile rank indicates the country's rank among all countries covered by the aggregate indicator, with 0 corresponding to lowest rank, and 100 to highest rank.  Percentile ranks have been adjusted to correct for changes over time in the composition of the countries covered by the WGI.</w:t>
            </w:r>
          </w:p>
        </w:tc>
      </w:tr>
      <w:tr w:rsidR="002D5274" w:rsidRPr="002D5274" w14:paraId="7518D389" w14:textId="77777777" w:rsidTr="002D5274">
        <w:trPr>
          <w:trHeight w:val="290"/>
        </w:trPr>
        <w:tc>
          <w:tcPr>
            <w:tcW w:w="9360" w:type="dxa"/>
            <w:tcBorders>
              <w:top w:val="nil"/>
              <w:left w:val="nil"/>
              <w:bottom w:val="nil"/>
              <w:right w:val="nil"/>
            </w:tcBorders>
            <w:shd w:val="clear" w:color="auto" w:fill="auto"/>
            <w:noWrap/>
            <w:vAlign w:val="bottom"/>
            <w:hideMark/>
          </w:tcPr>
          <w:p w14:paraId="14289CEC"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t xml:space="preserve">Political Stability and Absence of Violence/Terrorism measures perceptions of the likelihood of political instability and/or </w:t>
            </w:r>
            <w:proofErr w:type="gramStart"/>
            <w:r w:rsidRPr="002D5274">
              <w:rPr>
                <w:rFonts w:ascii="Calibri" w:eastAsia="Times New Roman" w:hAnsi="Calibri" w:cs="Calibri"/>
                <w:color w:val="000000"/>
              </w:rPr>
              <w:t>politically-motivated</w:t>
            </w:r>
            <w:proofErr w:type="gramEnd"/>
            <w:r w:rsidRPr="002D5274">
              <w:rPr>
                <w:rFonts w:ascii="Calibri" w:eastAsia="Times New Roman" w:hAnsi="Calibri" w:cs="Calibri"/>
                <w:color w:val="000000"/>
              </w:rPr>
              <w:t xml:space="preserve"> violence, including terrorism.  Percentile rank indicates the country's rank among all countries covered by the aggregate indicator, with 0 corresponding to lowest rank, and 100 to highest rank.  Percentile ranks have been adjusted to correct for changes over time in the composition of the countries covered by the WGI.</w:t>
            </w:r>
          </w:p>
        </w:tc>
      </w:tr>
      <w:tr w:rsidR="002D5274" w:rsidRPr="002D5274" w14:paraId="21333DB1" w14:textId="77777777" w:rsidTr="002D5274">
        <w:trPr>
          <w:trHeight w:val="290"/>
        </w:trPr>
        <w:tc>
          <w:tcPr>
            <w:tcW w:w="9360" w:type="dxa"/>
            <w:tcBorders>
              <w:top w:val="nil"/>
              <w:left w:val="nil"/>
              <w:bottom w:val="nil"/>
              <w:right w:val="nil"/>
            </w:tcBorders>
            <w:shd w:val="clear" w:color="auto" w:fill="auto"/>
            <w:noWrap/>
            <w:vAlign w:val="bottom"/>
            <w:hideMark/>
          </w:tcPr>
          <w:p w14:paraId="54782BC0"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t xml:space="preserve">Regulatory Quality captures perceptions of the ability of the government to formulate and implement sound policies and regulations that permit and promote private sector development. Percentile rank indicates the country's rank among all countries covered by the aggregate indicator, with 0 </w:t>
            </w:r>
            <w:r w:rsidRPr="002D5274">
              <w:rPr>
                <w:rFonts w:ascii="Calibri" w:eastAsia="Times New Roman" w:hAnsi="Calibri" w:cs="Calibri"/>
                <w:color w:val="000000"/>
              </w:rPr>
              <w:lastRenderedPageBreak/>
              <w:t>corresponding to lowest rank, and 100 to highest rank.  Percentile ranks have been adjusted to correct for changes over time in the composition of the countries covered by the WGI.</w:t>
            </w:r>
          </w:p>
        </w:tc>
      </w:tr>
      <w:tr w:rsidR="002D5274" w:rsidRPr="002D5274" w14:paraId="36A235BF" w14:textId="77777777" w:rsidTr="002D5274">
        <w:trPr>
          <w:trHeight w:val="290"/>
        </w:trPr>
        <w:tc>
          <w:tcPr>
            <w:tcW w:w="9360" w:type="dxa"/>
            <w:tcBorders>
              <w:top w:val="nil"/>
              <w:left w:val="nil"/>
              <w:bottom w:val="nil"/>
              <w:right w:val="nil"/>
            </w:tcBorders>
            <w:shd w:val="clear" w:color="auto" w:fill="auto"/>
            <w:noWrap/>
            <w:vAlign w:val="bottom"/>
            <w:hideMark/>
          </w:tcPr>
          <w:p w14:paraId="45D27A14"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lastRenderedPageBreak/>
              <w:t xml:space="preserve">Rule of Law captures perceptions of the extent to which agents have confidence in and abide by the rules of society, and </w:t>
            </w:r>
            <w:proofErr w:type="gramStart"/>
            <w:r w:rsidRPr="002D5274">
              <w:rPr>
                <w:rFonts w:ascii="Calibri" w:eastAsia="Times New Roman" w:hAnsi="Calibri" w:cs="Calibri"/>
                <w:color w:val="000000"/>
              </w:rPr>
              <w:t>in particular the</w:t>
            </w:r>
            <w:proofErr w:type="gramEnd"/>
            <w:r w:rsidRPr="002D5274">
              <w:rPr>
                <w:rFonts w:ascii="Calibri" w:eastAsia="Times New Roman" w:hAnsi="Calibri" w:cs="Calibri"/>
                <w:color w:val="000000"/>
              </w:rPr>
              <w:t xml:space="preserve"> quality of contract enforcement, property rights, the police, and the courts, as well as the likelihood of crime and violence. Percentile rank indicates the country's rank among all countries covered by the aggregate indicator, with 0 corresponding to lowest rank, and 100 to highest rank.  Percentile ranks have been adjusted to correct for changes over time in the composition of the countries covered by the WGI.</w:t>
            </w:r>
          </w:p>
        </w:tc>
      </w:tr>
      <w:tr w:rsidR="002D5274" w:rsidRPr="002D5274" w14:paraId="502F108C" w14:textId="77777777" w:rsidTr="002D5274">
        <w:trPr>
          <w:trHeight w:val="290"/>
        </w:trPr>
        <w:tc>
          <w:tcPr>
            <w:tcW w:w="9360" w:type="dxa"/>
            <w:tcBorders>
              <w:top w:val="nil"/>
              <w:left w:val="nil"/>
              <w:bottom w:val="nil"/>
              <w:right w:val="nil"/>
            </w:tcBorders>
            <w:shd w:val="clear" w:color="auto" w:fill="auto"/>
            <w:noWrap/>
            <w:vAlign w:val="bottom"/>
            <w:hideMark/>
          </w:tcPr>
          <w:p w14:paraId="07F4AA1F" w14:textId="77777777" w:rsidR="002D5274" w:rsidRPr="002D5274" w:rsidRDefault="002D5274" w:rsidP="002D5274">
            <w:pPr>
              <w:spacing w:after="0" w:line="240" w:lineRule="auto"/>
              <w:rPr>
                <w:rFonts w:ascii="Calibri" w:eastAsia="Times New Roman" w:hAnsi="Calibri" w:cs="Calibri"/>
                <w:color w:val="000000"/>
              </w:rPr>
            </w:pPr>
            <w:r w:rsidRPr="002D5274">
              <w:rPr>
                <w:rFonts w:ascii="Calibri" w:eastAsia="Times New Roman" w:hAnsi="Calibri" w:cs="Calibri"/>
                <w:color w:val="000000"/>
              </w:rPr>
              <w:t xml:space="preserve">Voice and Accountability captures perceptions of the extent to which a country's citizens </w:t>
            </w:r>
            <w:proofErr w:type="gramStart"/>
            <w:r w:rsidRPr="002D5274">
              <w:rPr>
                <w:rFonts w:ascii="Calibri" w:eastAsia="Times New Roman" w:hAnsi="Calibri" w:cs="Calibri"/>
                <w:color w:val="000000"/>
              </w:rPr>
              <w:t>are able to</w:t>
            </w:r>
            <w:proofErr w:type="gramEnd"/>
            <w:r w:rsidRPr="002D5274">
              <w:rPr>
                <w:rFonts w:ascii="Calibri" w:eastAsia="Times New Roman" w:hAnsi="Calibri" w:cs="Calibri"/>
                <w:color w:val="000000"/>
              </w:rPr>
              <w:t xml:space="preserve"> participate in selecting their government, as well as freedom of expression, freedom of association, and a free media. Percentile rank indicates the country's rank among all countries covered by the aggregate indicator, with 0 corresponding to lowest rank, and 100 to highest rank.  Percentile ranks have been adjusted to correct for changes over time in the composition of the countries covered by the WGI.</w:t>
            </w:r>
          </w:p>
        </w:tc>
      </w:tr>
    </w:tbl>
    <w:p w14:paraId="5BE74536" w14:textId="685EE04F" w:rsidR="002D5274" w:rsidRPr="002D5274" w:rsidRDefault="002D5274" w:rsidP="002D5274">
      <w:pPr>
        <w:spacing w:after="0" w:line="240" w:lineRule="auto"/>
        <w:rPr>
          <w:rFonts w:ascii="Calibri" w:eastAsia="Times New Roman" w:hAnsi="Calibri" w:cs="Calibri"/>
          <w:color w:val="000000"/>
        </w:rPr>
      </w:pPr>
    </w:p>
    <w:p w14:paraId="5B7FDB2C" w14:textId="53081F9E" w:rsidR="00A732F7" w:rsidRPr="00A732F7" w:rsidRDefault="00A732F7" w:rsidP="00A732F7">
      <w:pPr>
        <w:spacing w:after="0" w:line="240" w:lineRule="auto"/>
        <w:rPr>
          <w:rFonts w:ascii="Calibri" w:eastAsia="Times New Roman" w:hAnsi="Calibri" w:cs="Calibri"/>
          <w:color w:val="000000"/>
        </w:rPr>
      </w:pPr>
    </w:p>
    <w:p w14:paraId="20ADB2AA" w14:textId="77777777" w:rsidR="00A732F7" w:rsidRPr="00A732F7" w:rsidRDefault="00A732F7" w:rsidP="00A732F7">
      <w:pPr>
        <w:rPr>
          <w:rFonts w:ascii="Calibri" w:eastAsia="Times New Roman" w:hAnsi="Calibri" w:cs="Calibri"/>
          <w:color w:val="000000"/>
        </w:rPr>
      </w:pPr>
    </w:p>
    <w:p w14:paraId="12CA1399" w14:textId="6D5E8C1A" w:rsidR="00A732F7" w:rsidRPr="00A732F7" w:rsidRDefault="00A732F7" w:rsidP="00A732F7">
      <w:pPr>
        <w:spacing w:after="0" w:line="240" w:lineRule="auto"/>
        <w:rPr>
          <w:rFonts w:ascii="Calibri" w:eastAsia="Times New Roman" w:hAnsi="Calibri" w:cs="Calibri"/>
          <w:color w:val="000000"/>
        </w:rPr>
      </w:pPr>
    </w:p>
    <w:p w14:paraId="0B3A980F" w14:textId="77777777" w:rsidR="00A732F7" w:rsidRPr="009A76D7" w:rsidRDefault="00A732F7" w:rsidP="009A76D7">
      <w:pPr>
        <w:spacing w:after="0" w:line="240" w:lineRule="auto"/>
        <w:rPr>
          <w:rFonts w:ascii="Calibri" w:eastAsia="Times New Roman" w:hAnsi="Calibri" w:cs="Calibri"/>
          <w:color w:val="000000"/>
        </w:rPr>
      </w:pPr>
    </w:p>
    <w:p w14:paraId="3A2B2B27" w14:textId="77777777" w:rsidR="009A76D7" w:rsidRPr="00F448EA" w:rsidRDefault="009A76D7" w:rsidP="00F448EA">
      <w:pPr>
        <w:rPr>
          <w:rFonts w:ascii="Calibri" w:eastAsia="Times New Roman" w:hAnsi="Calibri" w:cs="Calibri"/>
          <w:color w:val="000000"/>
        </w:rPr>
      </w:pPr>
    </w:p>
    <w:p w14:paraId="0B23391B" w14:textId="61528537" w:rsidR="00F448EA" w:rsidRPr="00F448EA" w:rsidRDefault="00F448EA" w:rsidP="00F448EA">
      <w:pPr>
        <w:spacing w:after="0" w:line="240" w:lineRule="auto"/>
        <w:rPr>
          <w:rFonts w:ascii="Calibri" w:eastAsia="Times New Roman" w:hAnsi="Calibri" w:cs="Calibri"/>
          <w:color w:val="000000"/>
        </w:rPr>
      </w:pPr>
    </w:p>
    <w:p w14:paraId="683196CC" w14:textId="77777777" w:rsidR="00F448EA" w:rsidRPr="00D17108" w:rsidRDefault="00F448EA" w:rsidP="00D17108">
      <w:pPr>
        <w:rPr>
          <w:rFonts w:ascii="Calibri" w:eastAsia="Times New Roman" w:hAnsi="Calibri" w:cs="Calibri"/>
          <w:color w:val="000000"/>
        </w:rPr>
      </w:pPr>
    </w:p>
    <w:p w14:paraId="4D45B59F" w14:textId="0655658A" w:rsidR="00D17108" w:rsidRPr="00D17108" w:rsidRDefault="00D17108" w:rsidP="00D17108">
      <w:pPr>
        <w:spacing w:after="0" w:line="240" w:lineRule="auto"/>
        <w:rPr>
          <w:rFonts w:ascii="Calibri" w:eastAsia="Times New Roman" w:hAnsi="Calibri" w:cs="Calibri"/>
          <w:color w:val="000000"/>
        </w:rPr>
      </w:pPr>
    </w:p>
    <w:p w14:paraId="41D7A0B7" w14:textId="77777777" w:rsidR="00D17108" w:rsidRPr="00D17108" w:rsidRDefault="00D17108" w:rsidP="00D17108">
      <w:pPr>
        <w:spacing w:after="0" w:line="240" w:lineRule="auto"/>
        <w:rPr>
          <w:rFonts w:ascii="Calibri" w:eastAsia="Times New Roman" w:hAnsi="Calibri" w:cs="Calibri"/>
          <w:color w:val="000000"/>
        </w:rPr>
      </w:pPr>
    </w:p>
    <w:p w14:paraId="03B043B7" w14:textId="77777777" w:rsidR="00D17108" w:rsidRPr="008C53C0" w:rsidRDefault="00D17108" w:rsidP="008C53C0">
      <w:pPr>
        <w:rPr>
          <w:rFonts w:ascii="Calibri" w:eastAsia="Times New Roman" w:hAnsi="Calibri" w:cs="Calibri"/>
          <w:color w:val="000000"/>
        </w:rPr>
      </w:pPr>
    </w:p>
    <w:p w14:paraId="47E4B4D3" w14:textId="2BF9EABB" w:rsidR="008C53C0" w:rsidRPr="008C53C0" w:rsidRDefault="008C53C0" w:rsidP="008C53C0">
      <w:pPr>
        <w:spacing w:after="0" w:line="240" w:lineRule="auto"/>
        <w:rPr>
          <w:rFonts w:ascii="Calibri" w:eastAsia="Times New Roman" w:hAnsi="Calibri" w:cs="Calibri"/>
          <w:color w:val="000000"/>
        </w:rPr>
      </w:pPr>
    </w:p>
    <w:p w14:paraId="49AA1ADB" w14:textId="77777777" w:rsidR="008C53C0" w:rsidRPr="004412F1" w:rsidRDefault="008C53C0" w:rsidP="004412F1"/>
    <w:sectPr w:rsidR="008C53C0" w:rsidRPr="0044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D16B3"/>
    <w:multiLevelType w:val="hybridMultilevel"/>
    <w:tmpl w:val="308E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A7286"/>
    <w:multiLevelType w:val="hybridMultilevel"/>
    <w:tmpl w:val="0EAAE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78"/>
    <w:rsid w:val="002D5274"/>
    <w:rsid w:val="00313FF9"/>
    <w:rsid w:val="00387337"/>
    <w:rsid w:val="00427E56"/>
    <w:rsid w:val="004412F1"/>
    <w:rsid w:val="0047094B"/>
    <w:rsid w:val="0048464E"/>
    <w:rsid w:val="004F51B4"/>
    <w:rsid w:val="005633D9"/>
    <w:rsid w:val="0087300E"/>
    <w:rsid w:val="008A2691"/>
    <w:rsid w:val="008A2B63"/>
    <w:rsid w:val="008C53C0"/>
    <w:rsid w:val="008F5B91"/>
    <w:rsid w:val="00974DA3"/>
    <w:rsid w:val="009A76D7"/>
    <w:rsid w:val="00A05A6A"/>
    <w:rsid w:val="00A732F7"/>
    <w:rsid w:val="00B70678"/>
    <w:rsid w:val="00C116D3"/>
    <w:rsid w:val="00C26488"/>
    <w:rsid w:val="00D17108"/>
    <w:rsid w:val="00DB2D90"/>
    <w:rsid w:val="00DB7E3A"/>
    <w:rsid w:val="00EC0D7F"/>
    <w:rsid w:val="00F448EA"/>
    <w:rsid w:val="00FD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7260"/>
  <w15:chartTrackingRefBased/>
  <w15:docId w15:val="{8963AEE7-602A-43DF-A59F-B3366148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78"/>
    <w:pPr>
      <w:ind w:left="720"/>
      <w:contextualSpacing/>
    </w:pPr>
  </w:style>
  <w:style w:type="character" w:styleId="Hyperlink">
    <w:name w:val="Hyperlink"/>
    <w:basedOn w:val="DefaultParagraphFont"/>
    <w:uiPriority w:val="99"/>
    <w:unhideWhenUsed/>
    <w:rsid w:val="004412F1"/>
    <w:rPr>
      <w:color w:val="0000FF"/>
      <w:u w:val="single"/>
    </w:rPr>
  </w:style>
  <w:style w:type="character" w:styleId="UnresolvedMention">
    <w:name w:val="Unresolved Mention"/>
    <w:basedOn w:val="DefaultParagraphFont"/>
    <w:uiPriority w:val="99"/>
    <w:semiHidden/>
    <w:unhideWhenUsed/>
    <w:rsid w:val="008C53C0"/>
    <w:rPr>
      <w:color w:val="605E5C"/>
      <w:shd w:val="clear" w:color="auto" w:fill="E1DFDD"/>
    </w:rPr>
  </w:style>
  <w:style w:type="character" w:styleId="FollowedHyperlink">
    <w:name w:val="FollowedHyperlink"/>
    <w:basedOn w:val="DefaultParagraphFont"/>
    <w:uiPriority w:val="99"/>
    <w:semiHidden/>
    <w:unhideWhenUsed/>
    <w:rsid w:val="008C5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4673">
      <w:bodyDiv w:val="1"/>
      <w:marLeft w:val="0"/>
      <w:marRight w:val="0"/>
      <w:marTop w:val="0"/>
      <w:marBottom w:val="0"/>
      <w:divBdr>
        <w:top w:val="none" w:sz="0" w:space="0" w:color="auto"/>
        <w:left w:val="none" w:sz="0" w:space="0" w:color="auto"/>
        <w:bottom w:val="none" w:sz="0" w:space="0" w:color="auto"/>
        <w:right w:val="none" w:sz="0" w:space="0" w:color="auto"/>
      </w:divBdr>
    </w:div>
    <w:div w:id="240220389">
      <w:bodyDiv w:val="1"/>
      <w:marLeft w:val="0"/>
      <w:marRight w:val="0"/>
      <w:marTop w:val="0"/>
      <w:marBottom w:val="0"/>
      <w:divBdr>
        <w:top w:val="none" w:sz="0" w:space="0" w:color="auto"/>
        <w:left w:val="none" w:sz="0" w:space="0" w:color="auto"/>
        <w:bottom w:val="none" w:sz="0" w:space="0" w:color="auto"/>
        <w:right w:val="none" w:sz="0" w:space="0" w:color="auto"/>
      </w:divBdr>
    </w:div>
    <w:div w:id="264845352">
      <w:bodyDiv w:val="1"/>
      <w:marLeft w:val="0"/>
      <w:marRight w:val="0"/>
      <w:marTop w:val="0"/>
      <w:marBottom w:val="0"/>
      <w:divBdr>
        <w:top w:val="none" w:sz="0" w:space="0" w:color="auto"/>
        <w:left w:val="none" w:sz="0" w:space="0" w:color="auto"/>
        <w:bottom w:val="none" w:sz="0" w:space="0" w:color="auto"/>
        <w:right w:val="none" w:sz="0" w:space="0" w:color="auto"/>
      </w:divBdr>
    </w:div>
    <w:div w:id="306936567">
      <w:bodyDiv w:val="1"/>
      <w:marLeft w:val="0"/>
      <w:marRight w:val="0"/>
      <w:marTop w:val="0"/>
      <w:marBottom w:val="0"/>
      <w:divBdr>
        <w:top w:val="none" w:sz="0" w:space="0" w:color="auto"/>
        <w:left w:val="none" w:sz="0" w:space="0" w:color="auto"/>
        <w:bottom w:val="none" w:sz="0" w:space="0" w:color="auto"/>
        <w:right w:val="none" w:sz="0" w:space="0" w:color="auto"/>
      </w:divBdr>
    </w:div>
    <w:div w:id="313996919">
      <w:bodyDiv w:val="1"/>
      <w:marLeft w:val="0"/>
      <w:marRight w:val="0"/>
      <w:marTop w:val="0"/>
      <w:marBottom w:val="0"/>
      <w:divBdr>
        <w:top w:val="none" w:sz="0" w:space="0" w:color="auto"/>
        <w:left w:val="none" w:sz="0" w:space="0" w:color="auto"/>
        <w:bottom w:val="none" w:sz="0" w:space="0" w:color="auto"/>
        <w:right w:val="none" w:sz="0" w:space="0" w:color="auto"/>
      </w:divBdr>
    </w:div>
    <w:div w:id="327177781">
      <w:bodyDiv w:val="1"/>
      <w:marLeft w:val="0"/>
      <w:marRight w:val="0"/>
      <w:marTop w:val="0"/>
      <w:marBottom w:val="0"/>
      <w:divBdr>
        <w:top w:val="none" w:sz="0" w:space="0" w:color="auto"/>
        <w:left w:val="none" w:sz="0" w:space="0" w:color="auto"/>
        <w:bottom w:val="none" w:sz="0" w:space="0" w:color="auto"/>
        <w:right w:val="none" w:sz="0" w:space="0" w:color="auto"/>
      </w:divBdr>
    </w:div>
    <w:div w:id="554434813">
      <w:bodyDiv w:val="1"/>
      <w:marLeft w:val="0"/>
      <w:marRight w:val="0"/>
      <w:marTop w:val="0"/>
      <w:marBottom w:val="0"/>
      <w:divBdr>
        <w:top w:val="none" w:sz="0" w:space="0" w:color="auto"/>
        <w:left w:val="none" w:sz="0" w:space="0" w:color="auto"/>
        <w:bottom w:val="none" w:sz="0" w:space="0" w:color="auto"/>
        <w:right w:val="none" w:sz="0" w:space="0" w:color="auto"/>
      </w:divBdr>
    </w:div>
    <w:div w:id="591818265">
      <w:bodyDiv w:val="1"/>
      <w:marLeft w:val="0"/>
      <w:marRight w:val="0"/>
      <w:marTop w:val="0"/>
      <w:marBottom w:val="0"/>
      <w:divBdr>
        <w:top w:val="none" w:sz="0" w:space="0" w:color="auto"/>
        <w:left w:val="none" w:sz="0" w:space="0" w:color="auto"/>
        <w:bottom w:val="none" w:sz="0" w:space="0" w:color="auto"/>
        <w:right w:val="none" w:sz="0" w:space="0" w:color="auto"/>
      </w:divBdr>
    </w:div>
    <w:div w:id="730350619">
      <w:bodyDiv w:val="1"/>
      <w:marLeft w:val="0"/>
      <w:marRight w:val="0"/>
      <w:marTop w:val="0"/>
      <w:marBottom w:val="0"/>
      <w:divBdr>
        <w:top w:val="none" w:sz="0" w:space="0" w:color="auto"/>
        <w:left w:val="none" w:sz="0" w:space="0" w:color="auto"/>
        <w:bottom w:val="none" w:sz="0" w:space="0" w:color="auto"/>
        <w:right w:val="none" w:sz="0" w:space="0" w:color="auto"/>
      </w:divBdr>
    </w:div>
    <w:div w:id="748238375">
      <w:bodyDiv w:val="1"/>
      <w:marLeft w:val="0"/>
      <w:marRight w:val="0"/>
      <w:marTop w:val="0"/>
      <w:marBottom w:val="0"/>
      <w:divBdr>
        <w:top w:val="none" w:sz="0" w:space="0" w:color="auto"/>
        <w:left w:val="none" w:sz="0" w:space="0" w:color="auto"/>
        <w:bottom w:val="none" w:sz="0" w:space="0" w:color="auto"/>
        <w:right w:val="none" w:sz="0" w:space="0" w:color="auto"/>
      </w:divBdr>
    </w:div>
    <w:div w:id="883520205">
      <w:bodyDiv w:val="1"/>
      <w:marLeft w:val="0"/>
      <w:marRight w:val="0"/>
      <w:marTop w:val="0"/>
      <w:marBottom w:val="0"/>
      <w:divBdr>
        <w:top w:val="none" w:sz="0" w:space="0" w:color="auto"/>
        <w:left w:val="none" w:sz="0" w:space="0" w:color="auto"/>
        <w:bottom w:val="none" w:sz="0" w:space="0" w:color="auto"/>
        <w:right w:val="none" w:sz="0" w:space="0" w:color="auto"/>
      </w:divBdr>
    </w:div>
    <w:div w:id="893738094">
      <w:bodyDiv w:val="1"/>
      <w:marLeft w:val="0"/>
      <w:marRight w:val="0"/>
      <w:marTop w:val="0"/>
      <w:marBottom w:val="0"/>
      <w:divBdr>
        <w:top w:val="none" w:sz="0" w:space="0" w:color="auto"/>
        <w:left w:val="none" w:sz="0" w:space="0" w:color="auto"/>
        <w:bottom w:val="none" w:sz="0" w:space="0" w:color="auto"/>
        <w:right w:val="none" w:sz="0" w:space="0" w:color="auto"/>
      </w:divBdr>
    </w:div>
    <w:div w:id="1138061961">
      <w:bodyDiv w:val="1"/>
      <w:marLeft w:val="0"/>
      <w:marRight w:val="0"/>
      <w:marTop w:val="0"/>
      <w:marBottom w:val="0"/>
      <w:divBdr>
        <w:top w:val="none" w:sz="0" w:space="0" w:color="auto"/>
        <w:left w:val="none" w:sz="0" w:space="0" w:color="auto"/>
        <w:bottom w:val="none" w:sz="0" w:space="0" w:color="auto"/>
        <w:right w:val="none" w:sz="0" w:space="0" w:color="auto"/>
      </w:divBdr>
    </w:div>
    <w:div w:id="1250695311">
      <w:bodyDiv w:val="1"/>
      <w:marLeft w:val="0"/>
      <w:marRight w:val="0"/>
      <w:marTop w:val="0"/>
      <w:marBottom w:val="0"/>
      <w:divBdr>
        <w:top w:val="none" w:sz="0" w:space="0" w:color="auto"/>
        <w:left w:val="none" w:sz="0" w:space="0" w:color="auto"/>
        <w:bottom w:val="none" w:sz="0" w:space="0" w:color="auto"/>
        <w:right w:val="none" w:sz="0" w:space="0" w:color="auto"/>
      </w:divBdr>
    </w:div>
    <w:div w:id="1265334750">
      <w:bodyDiv w:val="1"/>
      <w:marLeft w:val="0"/>
      <w:marRight w:val="0"/>
      <w:marTop w:val="0"/>
      <w:marBottom w:val="0"/>
      <w:divBdr>
        <w:top w:val="none" w:sz="0" w:space="0" w:color="auto"/>
        <w:left w:val="none" w:sz="0" w:space="0" w:color="auto"/>
        <w:bottom w:val="none" w:sz="0" w:space="0" w:color="auto"/>
        <w:right w:val="none" w:sz="0" w:space="0" w:color="auto"/>
      </w:divBdr>
    </w:div>
    <w:div w:id="1455445001">
      <w:bodyDiv w:val="1"/>
      <w:marLeft w:val="0"/>
      <w:marRight w:val="0"/>
      <w:marTop w:val="0"/>
      <w:marBottom w:val="0"/>
      <w:divBdr>
        <w:top w:val="none" w:sz="0" w:space="0" w:color="auto"/>
        <w:left w:val="none" w:sz="0" w:space="0" w:color="auto"/>
        <w:bottom w:val="none" w:sz="0" w:space="0" w:color="auto"/>
        <w:right w:val="none" w:sz="0" w:space="0" w:color="auto"/>
      </w:divBdr>
    </w:div>
    <w:div w:id="1500342799">
      <w:bodyDiv w:val="1"/>
      <w:marLeft w:val="0"/>
      <w:marRight w:val="0"/>
      <w:marTop w:val="0"/>
      <w:marBottom w:val="0"/>
      <w:divBdr>
        <w:top w:val="none" w:sz="0" w:space="0" w:color="auto"/>
        <w:left w:val="none" w:sz="0" w:space="0" w:color="auto"/>
        <w:bottom w:val="none" w:sz="0" w:space="0" w:color="auto"/>
        <w:right w:val="none" w:sz="0" w:space="0" w:color="auto"/>
      </w:divBdr>
    </w:div>
    <w:div w:id="1641613405">
      <w:bodyDiv w:val="1"/>
      <w:marLeft w:val="0"/>
      <w:marRight w:val="0"/>
      <w:marTop w:val="0"/>
      <w:marBottom w:val="0"/>
      <w:divBdr>
        <w:top w:val="none" w:sz="0" w:space="0" w:color="auto"/>
        <w:left w:val="none" w:sz="0" w:space="0" w:color="auto"/>
        <w:bottom w:val="none" w:sz="0" w:space="0" w:color="auto"/>
        <w:right w:val="none" w:sz="0" w:space="0" w:color="auto"/>
      </w:divBdr>
    </w:div>
    <w:div w:id="1761875412">
      <w:bodyDiv w:val="1"/>
      <w:marLeft w:val="0"/>
      <w:marRight w:val="0"/>
      <w:marTop w:val="0"/>
      <w:marBottom w:val="0"/>
      <w:divBdr>
        <w:top w:val="none" w:sz="0" w:space="0" w:color="auto"/>
        <w:left w:val="none" w:sz="0" w:space="0" w:color="auto"/>
        <w:bottom w:val="none" w:sz="0" w:space="0" w:color="auto"/>
        <w:right w:val="none" w:sz="0" w:space="0" w:color="auto"/>
      </w:divBdr>
    </w:div>
    <w:div w:id="1819032532">
      <w:bodyDiv w:val="1"/>
      <w:marLeft w:val="0"/>
      <w:marRight w:val="0"/>
      <w:marTop w:val="0"/>
      <w:marBottom w:val="0"/>
      <w:divBdr>
        <w:top w:val="none" w:sz="0" w:space="0" w:color="auto"/>
        <w:left w:val="none" w:sz="0" w:space="0" w:color="auto"/>
        <w:bottom w:val="none" w:sz="0" w:space="0" w:color="auto"/>
        <w:right w:val="none" w:sz="0" w:space="0" w:color="auto"/>
      </w:divBdr>
    </w:div>
    <w:div w:id="1902600060">
      <w:bodyDiv w:val="1"/>
      <w:marLeft w:val="0"/>
      <w:marRight w:val="0"/>
      <w:marTop w:val="0"/>
      <w:marBottom w:val="0"/>
      <w:divBdr>
        <w:top w:val="none" w:sz="0" w:space="0" w:color="auto"/>
        <w:left w:val="none" w:sz="0" w:space="0" w:color="auto"/>
        <w:bottom w:val="none" w:sz="0" w:space="0" w:color="auto"/>
        <w:right w:val="none" w:sz="0" w:space="0" w:color="auto"/>
      </w:divBdr>
    </w:div>
    <w:div w:id="20204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proxy.library.upenn.edu/" TargetMode="External"/><Relationship Id="rId5" Type="http://schemas.openxmlformats.org/officeDocument/2006/relationships/hyperlink" Target="https://www.bloomberg.com/opinion/articles/2020-04-11/coronavirus-this-pandemic-will-lead-to-social-rev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1</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Hartwell, Julian</dc:creator>
  <cp:keywords/>
  <dc:description/>
  <cp:lastModifiedBy>Hartwell, Julian</cp:lastModifiedBy>
  <cp:revision>26</cp:revision>
  <dcterms:created xsi:type="dcterms:W3CDTF">2020-04-18T19:32:00Z</dcterms:created>
  <dcterms:modified xsi:type="dcterms:W3CDTF">2020-04-20T22:26:00Z</dcterms:modified>
</cp:coreProperties>
</file>