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Разработка веб-приложения пространственного анализа промышленных объектов: пятидневный план реализации и архитектурные решения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Системная архитектура и концепция облегченного решения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Проектирование промышленных объектов нового поколения под производство сэндвич-панелей требует создания цифровых инструментов, сочетающих высокую скорость расчетов и обоснованность пространственного выбора.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 рамках разработки прототипа веб-приложения «Наследие индустрии» архитектурные приоритеты смещаются в сторону построения легкого, отказоустойчивого и отзывчивого решения. ТЗ хакатона предполагает отказ от тяжелой 3D-визуализации на базе Three.js, что высвобождает ресурсы команды для качественной геоаналитической проработки и интеграции генеративных моделей для автоматического рендеринга и формирования отчетности.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Вместо построения громоздких систем динамического парсинга в реальном времени, которые уязвимы перед антифрод-алгоритмами и защитными экранами, проектируется облегченная архитектура на базе локальной базы данных в формате JSON.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Использование веб-парсеров для сбора данных по коммерческой недвижимости и тарифам в реальном времени несет в себе критические риски. Библиотеки обхода защит, такие как cfscrape, требующие зависимости Node.js версии 10 и выше для решения JS-челленджей, вносят задержки (минимум 5 секунд на первый запрос) и бессильны против reCAPTCHA.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Системы динамической ротации IP-адресов через мобильные прокси (например, mobileproxy.space) требуют соблюдения временных интервалов (минимум 30 секунд между сменами IP, средняя длительность смены — 5 секунд), что парализует работу веб-интерфейса во время демонстрации решения.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Настройка backconnect-прокси для многопоточного парсинга неоправданно усложняет проектную инфраструктуру в рамках короткого цикла разработки.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 связи с этим в базу данных JSON однократно закладывается массив социально-экономических, тарифных и логистических показателей по пяти наиболее перспективным и промышленно развитым субъектам Российской Федерации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Московская область — лидер по развитию промышленной инфраструктуры, располагающий 5 особыми экономическими зонами (ОЭЗ) и 72 индустриальными парками.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Республика Татарстан — регион с высочайшим промышленным потенциалом и развитыми ОЭЗ химической направленности.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Ленинградская область — стратегический узел Северо-Западного федерального округа со строительным и портовым кластером.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Свердловская область — старопромышленный регион, являющийся ядром металлургической отрасли Урала.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10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Нижегородская область — крупный индустриальный регион Поволжья с сильным химическим сектором в Дзержинске.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12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Такой подход гарантирует мгновенный отклик интерфейса, неизменную доступность данных во время презентации и высокую реалистичность расчетов.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Социально-экономический паспорт регионов и логистический анализ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Интеграция региональных факторов в алгоритм ранжирования площадок строится на сопоставлении официальных статистических показателей за 2025–2026 годы.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 базу данных JSON закладываются следующие параметры для оценки кадрового потенциала, доступности жилья и качества среды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Социально-экономические параметры перспективных регионов (Росстат, Минстрой, ЦИАН, 2025-2026 гг.)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Субъект РФ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Среднемесячная номинальная зарплата (2025 г.), руб.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Зарплата в январе 2026 г., руб.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Индекс качества городской среды (2024 г.), баллы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Средняя аренда 1-комнатной квартиры, руб./мес.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Российская Федерация (среднее)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  <w:drawing>
                <wp:inline distB="19050" distT="19050" distL="19050" distR="19050">
                  <wp:extent cx="547465" cy="211302"/>
                  <wp:effectExtent b="0" l="0" r="0" t="0"/>
                  <wp:docPr id="42" name="image58.png"/>
                  <a:graphic>
                    <a:graphicData uri="http://schemas.openxmlformats.org/drawingml/2006/picture">
                      <pic:pic>
                        <pic:nvPicPr>
                          <pic:cNvPr id="0" name="image5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465" cy="21130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  <w:drawing>
                <wp:inline distB="19050" distT="19050" distL="19050" distR="19050">
                  <wp:extent cx="547465" cy="211302"/>
                  <wp:effectExtent b="0" l="0" r="0" t="0"/>
                  <wp:docPr id="44" name="image37.png"/>
                  <a:graphic>
                    <a:graphicData uri="http://schemas.openxmlformats.org/drawingml/2006/picture">
                      <pic:pic>
                        <pic:nvPicPr>
                          <pic:cNvPr id="0" name="image37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465" cy="21130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  <w:drawing>
                <wp:inline distB="19050" distT="19050" distL="19050" distR="19050">
                  <wp:extent cx="259333" cy="211309"/>
                  <wp:effectExtent b="0" l="0" r="0" t="0"/>
                  <wp:docPr id="4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333" cy="21130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Московская область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  <w:drawing>
                <wp:inline distB="19050" distT="19050" distL="19050" distR="19050">
                  <wp:extent cx="547465" cy="211302"/>
                  <wp:effectExtent b="0" l="0" r="0" t="0"/>
                  <wp:docPr id="46" name="image40.png"/>
                  <a:graphic>
                    <a:graphicData uri="http://schemas.openxmlformats.org/drawingml/2006/picture">
                      <pic:pic>
                        <pic:nvPicPr>
                          <pic:cNvPr id="0" name="image40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465" cy="21130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  <w:drawing>
                <wp:inline distB="19050" distT="19050" distL="19050" distR="19050">
                  <wp:extent cx="547465" cy="211302"/>
                  <wp:effectExtent b="0" l="0" r="0" t="0"/>
                  <wp:docPr id="45" name="image39.png"/>
                  <a:graphic>
                    <a:graphicData uri="http://schemas.openxmlformats.org/drawingml/2006/picture">
                      <pic:pic>
                        <pic:nvPicPr>
                          <pic:cNvPr id="0" name="image39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465" cy="21130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  <w:drawing>
                <wp:inline distB="19050" distT="19050" distL="19050" distR="19050">
                  <wp:extent cx="259333" cy="211309"/>
                  <wp:effectExtent b="0" l="0" r="0" t="0"/>
                  <wp:docPr id="50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333" cy="21130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–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259333" cy="211309"/>
                  <wp:effectExtent b="0" l="0" r="0" t="0"/>
                  <wp:docPr id="49" name="image45.png"/>
                  <a:graphic>
                    <a:graphicData uri="http://schemas.openxmlformats.org/drawingml/2006/picture">
                      <pic:pic>
                        <pic:nvPicPr>
                          <pic:cNvPr id="0" name="image45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333" cy="21130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(лидеры: Реутов, Красногорск, Лобня)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  <w:drawing>
                <wp:inline distB="19050" distT="19050" distL="19050" distR="19050">
                  <wp:extent cx="461069" cy="211323"/>
                  <wp:effectExtent b="0" l="0" r="0" t="0"/>
                  <wp:docPr id="55" name="image38.png"/>
                  <a:graphic>
                    <a:graphicData uri="http://schemas.openxmlformats.org/drawingml/2006/picture">
                      <pic:pic>
                        <pic:nvPicPr>
                          <pic:cNvPr id="0" name="image38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069" cy="21132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–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461069" cy="211323"/>
                  <wp:effectExtent b="0" l="0" r="0" t="0"/>
                  <wp:docPr id="53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069" cy="21132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Республика Татарстан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  <w:drawing>
                <wp:inline distB="19050" distT="19050" distL="19050" distR="19050">
                  <wp:extent cx="461069" cy="211323"/>
                  <wp:effectExtent b="0" l="0" r="0" t="0"/>
                  <wp:docPr id="60" name="image48.png"/>
                  <a:graphic>
                    <a:graphicData uri="http://schemas.openxmlformats.org/drawingml/2006/picture">
                      <pic:pic>
                        <pic:nvPicPr>
                          <pic:cNvPr id="0" name="image48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069" cy="21132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  <w:drawing>
                <wp:inline distB="19050" distT="19050" distL="19050" distR="19050">
                  <wp:extent cx="461069" cy="211323"/>
                  <wp:effectExtent b="0" l="0" r="0" t="0"/>
                  <wp:docPr id="56" name="image50.png"/>
                  <a:graphic>
                    <a:graphicData uri="http://schemas.openxmlformats.org/drawingml/2006/picture">
                      <pic:pic>
                        <pic:nvPicPr>
                          <pic:cNvPr id="0" name="image50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069" cy="21132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  <w:drawing>
                <wp:inline distB="19050" distT="19050" distL="19050" distR="19050">
                  <wp:extent cx="259333" cy="211309"/>
                  <wp:effectExtent b="0" l="0" r="0" t="0"/>
                  <wp:docPr id="58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333" cy="21130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–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259333" cy="211309"/>
                  <wp:effectExtent b="0" l="0" r="0" t="0"/>
                  <wp:docPr id="61" name="image45.png"/>
                  <a:graphic>
                    <a:graphicData uri="http://schemas.openxmlformats.org/drawingml/2006/picture">
                      <pic:pic>
                        <pic:nvPicPr>
                          <pic:cNvPr id="0" name="image45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333" cy="21130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(Казань в топ-3 по РФ)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  <w:drawing>
                <wp:inline distB="19050" distT="19050" distL="19050" distR="19050">
                  <wp:extent cx="461069" cy="211323"/>
                  <wp:effectExtent b="0" l="0" r="0" t="0"/>
                  <wp:docPr id="63" name="image54.png"/>
                  <a:graphic>
                    <a:graphicData uri="http://schemas.openxmlformats.org/drawingml/2006/picture">
                      <pic:pic>
                        <pic:nvPicPr>
                          <pic:cNvPr id="0" name="image54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069" cy="21132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–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461069" cy="211323"/>
                  <wp:effectExtent b="0" l="0" r="0" t="0"/>
                  <wp:docPr id="65" name="image56.png"/>
                  <a:graphic>
                    <a:graphicData uri="http://schemas.openxmlformats.org/drawingml/2006/picture">
                      <pic:pic>
                        <pic:nvPicPr>
                          <pic:cNvPr id="0" name="image56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069" cy="21132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Ленинградская область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  <w:drawing>
                <wp:inline distB="19050" distT="19050" distL="19050" distR="19050">
                  <wp:extent cx="461069" cy="211323"/>
                  <wp:effectExtent b="0" l="0" r="0" t="0"/>
                  <wp:docPr id="67" name="image59.png"/>
                  <a:graphic>
                    <a:graphicData uri="http://schemas.openxmlformats.org/drawingml/2006/picture">
                      <pic:pic>
                        <pic:nvPicPr>
                          <pic:cNvPr id="0" name="image59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069" cy="21132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  <w:drawing>
                <wp:inline distB="19050" distT="19050" distL="19050" distR="19050">
                  <wp:extent cx="461069" cy="211323"/>
                  <wp:effectExtent b="0" l="0" r="0" t="0"/>
                  <wp:docPr id="69" name="image53.png"/>
                  <a:graphic>
                    <a:graphicData uri="http://schemas.openxmlformats.org/drawingml/2006/picture">
                      <pic:pic>
                        <pic:nvPicPr>
                          <pic:cNvPr id="0" name="image53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069" cy="21132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  <w:drawing>
                <wp:inline distB="19050" distT="19050" distL="19050" distR="19050">
                  <wp:extent cx="259333" cy="211309"/>
                  <wp:effectExtent b="0" l="0" r="0" t="0"/>
                  <wp:docPr id="70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333" cy="21130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–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259333" cy="211309"/>
                  <wp:effectExtent b="0" l="0" r="0" t="0"/>
                  <wp:docPr id="71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333" cy="21130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(лидер: Кудрово)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  <w:drawing>
                <wp:inline distB="19050" distT="19050" distL="19050" distR="19050">
                  <wp:extent cx="461069" cy="211323"/>
                  <wp:effectExtent b="0" l="0" r="0" t="0"/>
                  <wp:docPr id="72" name="image60.png"/>
                  <a:graphic>
                    <a:graphicData uri="http://schemas.openxmlformats.org/drawingml/2006/picture">
                      <pic:pic>
                        <pic:nvPicPr>
                          <pic:cNvPr id="0" name="image60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069" cy="21132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–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461069" cy="211323"/>
                  <wp:effectExtent b="0" l="0" r="0" t="0"/>
                  <wp:docPr id="26" name="image36.png"/>
                  <a:graphic>
                    <a:graphicData uri="http://schemas.openxmlformats.org/drawingml/2006/picture">
                      <pic:pic>
                        <pic:nvPicPr>
                          <pic:cNvPr id="0" name="image36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069" cy="21132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Свердловская область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  <w:drawing>
                <wp:inline distB="19050" distT="19050" distL="19050" distR="19050">
                  <wp:extent cx="461069" cy="211323"/>
                  <wp:effectExtent b="0" l="0" r="0" t="0"/>
                  <wp:docPr id="28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069" cy="21132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  <w:drawing>
                <wp:inline distB="19050" distT="19050" distL="19050" distR="19050">
                  <wp:extent cx="461069" cy="211323"/>
                  <wp:effectExtent b="0" l="0" r="0" t="0"/>
                  <wp:docPr id="30" name="image31.png"/>
                  <a:graphic>
                    <a:graphicData uri="http://schemas.openxmlformats.org/drawingml/2006/picture">
                      <pic:pic>
                        <pic:nvPicPr>
                          <pic:cNvPr id="0" name="image31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069" cy="21132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  <w:drawing>
                <wp:inline distB="19050" distT="19050" distL="19050" distR="19050">
                  <wp:extent cx="259333" cy="211309"/>
                  <wp:effectExtent b="0" l="0" r="0" t="0"/>
                  <wp:docPr id="32" name="image32.png"/>
                  <a:graphic>
                    <a:graphicData uri="http://schemas.openxmlformats.org/drawingml/2006/picture">
                      <pic:pic>
                        <pic:nvPicPr>
                          <pic:cNvPr id="0" name="image32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333" cy="21130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–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259333" cy="211309"/>
                  <wp:effectExtent b="0" l="0" r="0" t="0"/>
                  <wp:docPr id="34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333" cy="21130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(Екатеринбург)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  <w:drawing>
                <wp:inline distB="19050" distT="19050" distL="19050" distR="19050">
                  <wp:extent cx="461069" cy="211323"/>
                  <wp:effectExtent b="0" l="0" r="0" t="0"/>
                  <wp:docPr id="36" name="image33.png"/>
                  <a:graphic>
                    <a:graphicData uri="http://schemas.openxmlformats.org/drawingml/2006/picture">
                      <pic:pic>
                        <pic:nvPicPr>
                          <pic:cNvPr id="0" name="image33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069" cy="21132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–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461069" cy="211323"/>
                  <wp:effectExtent b="0" l="0" r="0" t="0"/>
                  <wp:docPr id="38" name="image42.png"/>
                  <a:graphic>
                    <a:graphicData uri="http://schemas.openxmlformats.org/drawingml/2006/picture">
                      <pic:pic>
                        <pic:nvPicPr>
                          <pic:cNvPr id="0" name="image42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069" cy="21132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Нижегородская область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  <w:drawing>
                <wp:inline distB="19050" distT="19050" distL="19050" distR="19050">
                  <wp:extent cx="461069" cy="211323"/>
                  <wp:effectExtent b="0" l="0" r="0" t="0"/>
                  <wp:docPr id="39" name="image49.png"/>
                  <a:graphic>
                    <a:graphicData uri="http://schemas.openxmlformats.org/drawingml/2006/picture">
                      <pic:pic>
                        <pic:nvPicPr>
                          <pic:cNvPr id="0" name="image49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069" cy="21132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  <w:drawing>
                <wp:inline distB="19050" distT="19050" distL="19050" distR="19050">
                  <wp:extent cx="461069" cy="211323"/>
                  <wp:effectExtent b="0" l="0" r="0" t="0"/>
                  <wp:docPr id="40" name="image43.png"/>
                  <a:graphic>
                    <a:graphicData uri="http://schemas.openxmlformats.org/drawingml/2006/picture">
                      <pic:pic>
                        <pic:nvPicPr>
                          <pic:cNvPr id="0" name="image43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069" cy="21132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  <w:drawing>
                <wp:inline distB="19050" distT="19050" distL="19050" distR="19050">
                  <wp:extent cx="259333" cy="211309"/>
                  <wp:effectExtent b="0" l="0" r="0" t="0"/>
                  <wp:docPr id="41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333" cy="21130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–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259333" cy="211309"/>
                  <wp:effectExtent b="0" l="0" r="0" t="0"/>
                  <wp:docPr id="11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333" cy="21130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(Дзержинск)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  <w:drawing>
                <wp:inline distB="19050" distT="19050" distL="19050" distR="19050">
                  <wp:extent cx="461069" cy="211323"/>
                  <wp:effectExtent b="0" l="0" r="0" t="0"/>
                  <wp:docPr id="12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069" cy="21132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–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461069" cy="211323"/>
                  <wp:effectExtent b="0" l="0" r="0" t="0"/>
                  <wp:docPr id="1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069" cy="21132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Уровень номинальных заработных плат напрямую определяет расходы инвестора на фонд оплаты труда (ФОТ), а индекс качества городской среды (оцениваемый Минстроем по 36 критериям и 6 пространствам с максимальным баллом 360, где благоприятными признаются города с оценкой от 181 балла) выступает мерой привлекательности локации для миграции квалифицированных специалистов.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Например, доля благоприятных городов в России достигла 82,4%, что наглядно подтверждает динамику улучшения условий жизни.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Средний региональный балл увеличился с 200 до 220, а в сегменте крупных городов (от 250 тыс. до 1 млн жителей) все 62 города признаны благоприятными.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Средняя аренда жилья определяет затраты на компенсационные пакеты при релокации кадров.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Логистический анализ в системе учитывает близость к сырьевым базам и рынкам сбыта. Поскольку рулонная сталь составляет до 60% себестоимости сэндвич-панелей, критически важен учет расстояний до крупнейших металлургических комбинатов страны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ПАО «НЛМК» (г. Липецк, координаты площадки: lat: 52.57276, lon: 39.652504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; головной офис и региональные склады в Подольске, Дмитрове, Казани, Набережных Челнах, Екатеринбурге).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10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Череповецкий металлургический комбинат ПАО «Северсталь» (Вологодская обл., г. Череповец, ул. Мира, 30).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28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Вторым логистическим фактором выступает доставка тяжелых компонентов утеплителей (минеральная вата или компоненты пенополиуретана — ППУ).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 базу данных интегрируются координаты профильных предприятий, таких как ООО «Экотермикс» (Ленинградская область, г. Всеволожск)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АО «Химтраст» (Республика Татарстан, г. Нижнекамск)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ООО «Завод герметизирующих материалов» (Нижегородская область, г. Дзержинск)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завод «Агидель» (Республика Башкортостан, г. Благовещенск)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и другие заводы теплоизоляционных систем.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Экономически целесообразный радиус сбыта готовых панелей ограничен расстоянием в 300–500 км из-за их высокого удельного объема, что делает логистику ключевым весовым фактором в алгоритме ранжирования ТОП-3 регионов.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Энергетический блок учитывает тарифы на электроэнергию для юридических лиц, утверждаемые региональными энергетическими комиссиями на 2025–2026 годы.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 Москве тариф прогнозируется на уровне до 7,87 руб./кВт·ч, в Санкт-Петербурге — до 6,97 руб./кВт·ч.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Для сравнения, самые низкие тарифы традиционно фиксируются в Иркутской области (до 2 руб./кВт·ч), а экстремально высокие — в Чукотском АО (до 11,36 руб./кВт·ч).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 сетевой блок закладываются данные о свободных мощностях опорных подстанций (линии сэндвич-панелей требуют 300–800 кВА свободной мощности) и доступности магистрального газа, использование которого для отопления цехов экономически эффективнее электричества.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3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Математические модели расчета производственных площадей и сметы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Оценка параметров будущего предприятия по выпуску сэндвич-панелей опирается на строгие производственные нормативы и укрупненные расценки строительно-монтажных работ.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Входными переменными для модели являются годовой объем выпуска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57832" cy="24139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832" cy="2413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тыс. м²/год), общая численность персонала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78668" cy="244493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668" cy="2444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чел.), доля обеспечения сотрудников жильем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87784" cy="248674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784" cy="2486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%), тип жилья, количество мест в детском саду на 100 сотрудников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76771" cy="247921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771" cy="2479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а также выбор спортивных объектов и элементов благоустройства.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Производственные нормативы фиксируют удельную площадь цеха на уровне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50404" cy="240773"/>
            <wp:effectExtent b="0" l="0" r="0" t="0"/>
            <wp:docPr id="1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404" cy="2407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м² на тыс. м² готовых панелей в год.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Класс опасности объекта автоматически определяется типом утеплителя: 3-й класс для пенополистирола (ППС) и минеральной ваты, либо 2-й класс для пенополиуретана (ППУ), что накладывает жесткие требования на проектирование систем промышленной вентиляции и санитарно-защитных зон.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Высота цехов принимается равной 8–10 метрам.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Расчет площадей объектов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31415" cy="244057"/>
            <wp:effectExtent b="0" l="0" r="0" t="0"/>
            <wp:docPr id="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415" cy="2440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м²) осуществляется по следующим зависимостям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Основной производственный цех: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05500" cy="637108"/>
            <wp:effectExtent b="0" l="0" r="0" t="0"/>
            <wp:docPr id="2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371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* Складские помещения сырья и готовой продукции (с учетом коэффициента склада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48406" cy="23541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406" cy="2354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05500" cy="637108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371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* Административно-бытовой комплекс (АБК):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05500" cy="637108"/>
            <wp:effectExtent b="0" l="0" r="0" t="0"/>
            <wp:docPr id="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371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* Парковочная зона (исходя из нормы 25 м² на автомобиль и обеспечения машиноместами 50% сотрудников):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05500" cy="637108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371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* Внутриплощадочные дороги и проезды: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05500" cy="637108"/>
            <wp:effectExtent b="0" l="0" r="0" t="0"/>
            <wp:docPr id="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371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* Общая площадь столовой: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05500" cy="637108"/>
            <wp:effectExtent b="0" l="0" r="0" t="0"/>
            <wp:docPr id="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371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* Общая площадь медицинского пункта (с установленным минимумом в 20 м²):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05500" cy="637108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371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* Здание детского сада: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05500" cy="792301"/>
            <wp:effectExtent b="0" l="0" r="0" t="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7923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* Корпоративное жилье для сотрудников (в зависимости от выбранного типа: общежитие или квартиры):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05500" cy="792301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7923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где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057351" cy="247668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7351" cy="247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м²/чел. для общежития и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95932" cy="233252"/>
            <wp:effectExtent b="0" l="0" r="0" t="0"/>
            <wp:docPr id="48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932" cy="2332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м²/чел. для квартир.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Общая площадь зданий и сооружений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04961" cy="244860"/>
            <wp:effectExtent b="0" l="0" r="0" t="0"/>
            <wp:docPr id="51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961" cy="244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формирующих пятно застройки, рассчитывается как сумма всех площадей. Для определения минимально необходимой площади земельного участка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58527" cy="245308"/>
            <wp:effectExtent b="0" l="0" r="0" t="0"/>
            <wp:docPr id="52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527" cy="2453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применяется средний коэффициент застройки территории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28166" cy="248787"/>
            <wp:effectExtent b="0" l="0" r="0" t="0"/>
            <wp:docPr id="5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8166" cy="2487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720828"/>
            <wp:effectExtent b="0" l="0" r="0" t="0"/>
            <wp:docPr id="57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7208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Экономический блок модели рассчитывает укрупненную смету строительства по нормативам стоимости квадратного метра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4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Нормативы стоимости строительства и штучных объектов (ТЗ хакатона)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Категория объекта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Стоимость строительства (Price), руб./м²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Производственный цех, склад готовой продукции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  <w:drawing>
                <wp:inline distB="19050" distT="19050" distL="19050" distR="19050">
                  <wp:extent cx="461069" cy="211323"/>
                  <wp:effectExtent b="0" l="0" r="0" t="0"/>
                  <wp:docPr id="59" name="image38.png"/>
                  <a:graphic>
                    <a:graphicData uri="http://schemas.openxmlformats.org/drawingml/2006/picture">
                      <pic:pic>
                        <pic:nvPicPr>
                          <pic:cNvPr id="0" name="image38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069" cy="21132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Административно-бытовой комплекс (АБК)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  <w:drawing>
                <wp:inline distB="19050" distT="19050" distL="19050" distR="19050">
                  <wp:extent cx="461069" cy="211323"/>
                  <wp:effectExtent b="0" l="0" r="0" t="0"/>
                  <wp:docPr id="62" name="image57.png"/>
                  <a:graphic>
                    <a:graphicData uri="http://schemas.openxmlformats.org/drawingml/2006/picture">
                      <pic:pic>
                        <pic:nvPicPr>
                          <pic:cNvPr id="0" name="image57.png"/>
                          <pic:cNvPicPr preferRelativeResize="0"/>
                        </pic:nvPicPr>
                        <pic:blipFill>
                          <a:blip r:embed="rId5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069" cy="21132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Корпоративное жилье (общежитие)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  <w:drawing>
                <wp:inline distB="19050" distT="19050" distL="19050" distR="19050">
                  <wp:extent cx="461069" cy="211323"/>
                  <wp:effectExtent b="0" l="0" r="0" t="0"/>
                  <wp:docPr id="64" name="image52.png"/>
                  <a:graphic>
                    <a:graphicData uri="http://schemas.openxmlformats.org/drawingml/2006/picture">
                      <pic:pic>
                        <pic:nvPicPr>
                          <pic:cNvPr id="0" name="image52.png"/>
                          <pic:cNvPicPr preferRelativeResize="0"/>
                        </pic:nvPicPr>
                        <pic:blipFill>
                          <a:blip r:embed="rId5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069" cy="21132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Корпоративное жилье (квартиры)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  <w:drawing>
                <wp:inline distB="19050" distT="19050" distL="19050" distR="19050">
                  <wp:extent cx="461069" cy="211323"/>
                  <wp:effectExtent b="0" l="0" r="0" t="0"/>
                  <wp:docPr id="66" name="image61.png"/>
                  <a:graphic>
                    <a:graphicData uri="http://schemas.openxmlformats.org/drawingml/2006/picture">
                      <pic:pic>
                        <pic:nvPicPr>
                          <pic:cNvPr id="0" name="image61.png"/>
                          <pic:cNvPicPr preferRelativeResize="0"/>
                        </pic:nvPicPr>
                        <pic:blipFill>
                          <a:blip r:embed="rId5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069" cy="21132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Детский сад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  <w:drawing>
                <wp:inline distB="19050" distT="19050" distL="19050" distR="19050">
                  <wp:extent cx="461069" cy="211323"/>
                  <wp:effectExtent b="0" l="0" r="0" t="0"/>
                  <wp:docPr id="68" name="image55.png"/>
                  <a:graphic>
                    <a:graphicData uri="http://schemas.openxmlformats.org/drawingml/2006/picture">
                      <pic:pic>
                        <pic:nvPicPr>
                          <pic:cNvPr id="0" name="image55.png"/>
                          <pic:cNvPicPr preferRelativeResize="0"/>
                        </pic:nvPicPr>
                        <pic:blipFill>
                          <a:blip r:embed="rId5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069" cy="21132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Корпоративная столовая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  <w:drawing>
                <wp:inline distB="19050" distT="19050" distL="19050" distR="19050">
                  <wp:extent cx="461069" cy="211323"/>
                  <wp:effectExtent b="0" l="0" r="0" t="0"/>
                  <wp:docPr id="47" name="image38.png"/>
                  <a:graphic>
                    <a:graphicData uri="http://schemas.openxmlformats.org/drawingml/2006/picture">
                      <pic:pic>
                        <pic:nvPicPr>
                          <pic:cNvPr id="0" name="image38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069" cy="21132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Медицинский пункт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  <w:drawing>
                <wp:inline distB="19050" distT="19050" distL="19050" distR="19050">
                  <wp:extent cx="461069" cy="211323"/>
                  <wp:effectExtent b="0" l="0" r="0" t="0"/>
                  <wp:docPr id="23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069" cy="21132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Дорожное покрытие, парковочные места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  <w:drawing>
                <wp:inline distB="19050" distT="19050" distL="19050" distR="19050">
                  <wp:extent cx="374600" cy="211313"/>
                  <wp:effectExtent b="0" l="0" r="0" t="0"/>
                  <wp:docPr id="24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5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600" cy="2113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Элементы благоустройства (на площадь участка)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  <w:drawing>
                <wp:inline distB="19050" distT="19050" distL="19050" distR="19050">
                  <wp:extent cx="374600" cy="211313"/>
                  <wp:effectExtent b="0" l="0" r="0" t="0"/>
                  <wp:docPr id="25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5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600" cy="2113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При интеграции штучных спортивных сооружений к общей сумме добавляются фиксированные стоимости: стадион —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8004" cy="245009"/>
            <wp:effectExtent b="0" l="0" r="0" t="0"/>
            <wp:docPr id="27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004" cy="2450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млн руб., бассейн —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8004" cy="245009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004" cy="2450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млн руб., спортзал —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8004" cy="245009"/>
            <wp:effectExtent b="0" l="0" r="0" t="0"/>
            <wp:docPr id="31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004" cy="2450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млн руб., хоккейная коробка —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8004" cy="245009"/>
            <wp:effectExtent b="0" l="0" r="0" t="0"/>
            <wp:docPr id="33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004" cy="2450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млн руб..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Итоговая укрупненная смета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31676" cy="249413"/>
            <wp:effectExtent b="0" l="0" r="0" t="0"/>
            <wp:docPr id="3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676" cy="249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руб.) определяется уравнением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899000"/>
            <wp:effectExtent b="0" l="0" r="0" t="0"/>
            <wp:docPr id="37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89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Полученная смета сопоставляется с лимитом бюджета инвестора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95932" cy="233252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932" cy="2332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–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93936" cy="237045"/>
            <wp:effectExtent b="0" l="0" r="0" t="0"/>
            <wp:docPr id="2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936" cy="237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млн руб.), и в случае превышения система выдает предупреждение с рекомендациями по секвестированию необязательных параметров (например, уменьшение доли корпоративного жилья или оптимизация спортивных объектов).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5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Архитектурно-генеративный конвейер и интеграция LLM через Structured Output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Для обеспечения надежности и стабильности генерации концепт-бордов и аналитических справок в веб-приложении реализуется подход Structured Output на базе Pydantic-валидации в связке с облачными LLM.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Использование обычного текстового вывода с последующим разбором строки регулярными выражениями признано нежизнеспособным из-за частых ошибок форматирования JSON на стороне модели.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33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Интеграция осуществляется через вызов client.beta.chat.completions.parse() (для моделей OpenAI) или через фреймворк Instructor, который транслирует структуру Pydantic-модели в строгую схему JSON и передает ее в API в качестве параметра response_format.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Применение constrained decoding (ограниченного декодирования) на уровне инференса модели физически лишает ее возможности генерировать токены, нарушающие схему.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При возникновении логических ошибок валидации (например, если модель передает отрицательное значение в поле с ограничением ge=0) Instructor автоматически перехватывает исключение, отправляет его текст обратно модели и выполняет повторный запрос (retry).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Названия полей и подробные описания Field(description=...) выступают в роли точных prompt-инструкций, направляющих генерацию.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33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Для генерации концепта регионального стиля и аналитики описывается вложенная структура моделей Pydantic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Python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pydantic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BaseModel, Field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typing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List, Literal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 ColorPalette(BaseModel):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primary: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= Field(description=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"Доминирующий HEX-цвет региональной идентичности (климат/история)"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secondary: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= Field(description=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"Вспомогательный HEX-цвет фасада"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accent: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= Field(description=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"Яркий акцентный HEX-цвет"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 RegionalStyle(BaseModel):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style_name: Literal = Field(description=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"Архитектурный приоритет"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dominant_materials: List[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 = Field(description=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"Традиционные строительные материалы и текстуры региона"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cultural_code_concept: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= Field(description=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"Описание интеграции орнаментов и истории в архитектурный облик"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 SocialPassport(BaseModel):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environment_index: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= Field(ge=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le=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360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description=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"Индекс качества городской среды Минстроя"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kindergarten_provision: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= Field(description=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"Обеспеченность детскими садами по Росстату"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colleges_list: List[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 = Field(description=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"Ключевые профильные колледжи региона (сварщики, операторы, технологи)"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average_rent: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= Field(description=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"Средняя стоимость аренды 1-комнатной квартиры"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 FinancialSmeeta(BaseModel):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calculated_plot_area_sqm: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= Field(description=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"Расчетная площадь участка в кв.м."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building_costs: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= Field(description=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"Суммарная стоимость зданий"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landscaping_costs: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= Field(description=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"Стоимость благоустройства"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total_budget_rub: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= Field(description=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"Итоговая смета проекта"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 RegionalAnalysisReport(BaseModel):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region_name: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social_passport: SocialPassport</w:t>
        <w:br w:type="textWrapping"/>
        <w:t xml:space="preserve">    economic_benefits: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= Field(description=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"Налоговые льготы ОЭЗ/ТОР, энерготарифы, влияние ФОТ на OPEX"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networks_check: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= Field(description=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"Анализ доступности газа и свободной электрической мощности"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raw_materials_logistics: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= Field(description=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"Расстояния до ближайших поставщиков рулонной стали и утеплителя"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retention_recommendations: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= Field(description=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"Рекомендации по удержанию персонала (жилье, транспорт, автобусы)"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smeeta_block: FinancialSmeeta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 IntegratedProjectConcept(BaseModel):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style_guide: RegionalStyle</w:t>
        <w:br w:type="textWrapping"/>
        <w:t xml:space="preserve">    colors: ColorPalette</w:t>
        <w:br w:type="textWrapping"/>
        <w:t xml:space="preserve">    analytics: RegionalAnalysisReport</w:t>
        <w:br w:type="textWrapping"/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Для генерации 4 фотореалистичных рендеров фасада здания (с юга, севера, запада, востока) бэкенд формирует точные текстовые промпты для графического API на основе полученного объекта RegionalStyle.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Описание стиля, перечень традиционных материалов и цветовые HEX-коды подставляются в шаблон, обеспечивая соответствие изображений культурному коду региона и выбранному архитектурному приоритету.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6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Геоинформационная подсистема на базе Streamlit и Folium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Реализация интерактивной карты в рамках облегченной архитектуры базируется на интеграции библиотеки Folium в Streamlit-приложение с использованием компонента streamlit-folium (метод st_folium), поддерживающего двунаправленный обмен данными.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36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Построение интерактивного сценария клика по карте строится на перехвате событий браузера. Функция st_folium возвращает словарь состояния карты, из которого бэкенд извлекает координаты последней точки клика: map_data['last_clicked']['lat'] и map_data['last_clicked']['lng'].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Для предотвращения неконтролируемой перезагрузки интерфейса при каждом движении карты применяется параметр returned_objects=["last_clicked"], заставляющий Streamlit выполнять рендеринг скрипта только при фиксации клика пользователя на конкретный маркер площадки.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36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Для бесконфликтной отрисовки маркеров и предотвращения появления дублирующихся объектов при перезапусках страницы используется механизм сессионного состояния st.session_state.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Схема управления состоянием геоинформационного компонента реализуется следующим образом: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Python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streamlit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st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folium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streamlit_folium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st_folium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Инициализация базового состояния карты в st.session_state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"selected_site"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st.session_state:</w:t>
        <w:br w:type="textWrapping"/>
        <w:t xml:space="preserve">    st.session_state.selected_site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"marker_location"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st.session_state:</w:t>
        <w:br w:type="textWrapping"/>
        <w:t xml:space="preserve">    st.session_state.marker_location = 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55.75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37.62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Дефолтные координаты центра РФ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Создание объекта карты Folium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m = folium.Map(location=st.session_state.marker_location, zoom_start=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Отрисовка постоянных маркеров промышленных площадок из локальной JSON базы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#... добавление маркеров через folium.Marker...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Запуск компонента карты с ограничением возвращаемых объектов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map_output = st_folium(m, width=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800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height=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returned_objects=[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"last_clicked"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Обработка события клика по маркеру площадки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map_output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map_output.get(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"last_clicked"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):</w:t>
        <w:br w:type="textWrapping"/>
        <w:t xml:space="preserve">    clicked_coords = [map_output[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"last_clicked"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"lat"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], map_output[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"last_clicked"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"lng"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]]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clicked_coords!= st.session_state.marker_location:</w:t>
        <w:br w:type="textWrapping"/>
        <w:t xml:space="preserve">        st.session_state.marker_location = clicked_coords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Поиск соответствующей промышленной площадки в JSON-базе данных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st.session_state.selected_site = find_site_by_coords(clicked_coords)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Принудительная перезагрузка для обновления аналитического блока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st.rerun()</w:t>
        <w:br w:type="textWrapping"/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Дополнительно в ГИС-модуль закладывается функция фильтрации площадок по географическим границам видимой области карты map_output['bounds'].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Это позволяет динамически выводить в боковую панель Streamlit список только тех объектов, которые попадают в текущий масштаб просмотра пользователя, оптимизируя UX-составляющую интерфейса.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40</w:t>
      </w:r>
    </w:p>
    <w:p w:rsidR="00000000" w:rsidDel="00000000" w:rsidP="00000000" w:rsidRDefault="00000000" w:rsidRPr="00000000" w14:paraId="0000006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Пятидневный план реализации и кадровое распределение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Успешное выполнение проекта ТЗ хакатона за 5 дней силами команды из 2 сильных (Senior 1, Senior 2) и 3 начинающих (Junior 1, Junior 2, Junior 3) разработчиков требует параллельной работы над компонентами с жестко зафиксированными точками интеграции в конце каждого дня.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7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Распределение ролей в команде разработки: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Senior 1 (S1) — Backend &amp; LLM-архитектор.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Отвечает за логику FastAPI, интеграцию Structured Output LLM, обработку ошибок API, кэширование и деплой.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Senior 2 (S2) — UI/UX &amp; ГИС-инженер.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Отвечает за разработку веб-интерфейса Streamlit, тонкую настройку двунаправленного компонента st_folium, визуализацию концепт-бордов и карт.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Junior 1 (J1) — Дата-инженер.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Занимается однократным наполнением и валидацией базы данных JSON по 5 регионам, координатам поставщиков сырья и тарифам.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Junior 2 (J2) — Разработчик расчетных алгоритмов.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Отвечает за перенос всех математических формул ТЗ (площади, сметы, логистические плечи) в код на Python, пишет юнит-тесты.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Junior 3 (J3) — Инженер генеративного контента и документации.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Разрабатывает промпты для LLM и генераторов изображений, настраивает экспорт презентаций и готовит проектную документацию.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7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Детальный суточный график работ и контрольные точки интеграции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День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Разработчик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Конкретная задача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Выходной артефакт дня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День 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Настройка FastAPI проекта, проектирование Pydantic-схем ввода-вывода.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Скелет FastAPI бэкенда с API-контрактами.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Инициализация Streamlit-интерфейса, разметка 10 полей ввода формы инвестора.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UI-форма ввода параметров в Streamlit.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J1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Сбор тарифов, заработных плат и индексов Минстроя по 5 регионам.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Первичный черновик JSON-базы регионов.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J2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Реализация формул расчета площадей зданий завода на Python.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Python-модуль расчетов areas_calculator.py.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J3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Написание тестовых промптов для Structured Output LLM.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Набор тестовых системных промптов в Git.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День 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Интеграция API-вызовов LLM, обработка таймаутов и лимитов токенов.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Блок интеграции с облачными нейросетями.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Базовая интеграция Folium в Streamlit, вывод карты на главный экран.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Веб-интерфейс с отображением карты РФ.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J1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Валидация координат заводов стали (НЛМК/Северсталь) и утеплителей в JSON.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Валидный, готовый к деплою файл regions_db.json.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J2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Написание алгоритма укрупненной сметы строительства и благоустройства.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Python-модуль smeeta_calculator.py.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J3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Разработка Pydantic-моделей валидации концепт-борда и справок.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Файл схем Pydantic для Structured Output.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День 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Объединение расчетных модулей J2 и базы данных JSON в эндпоинты FastAPI.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Интегрированный локальный бэкенд-сервис.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Реализация перехвата клика на маркеры, запись в st.session_state.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Двунаправленная карта: клик меняет состояние UI.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J1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Оцифровка границ промышленных площадок, перевод в формат GeoJSON.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Файлы GeoJSON для отрисовки зон застройки на карте.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J2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Написание алгоритма ранжирования ТОП-3 регионов на основе весов критериев.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Алгоритм ранжирования в составе расчетного ядра.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J3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Тонкая настройка промптов генерации 4 рендеров (север/юг/запад/восток).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Стабильные шаблоны prompt-генератора в коде.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День 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Реализация логики повторных запросов (retry) к LLM при сбоях валидации JSON.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Сквозной отказоустойчивый генеративный конвейер.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Оформление концепт-борда (вывод цветов и текстур), сетка рендеров 2x2.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Полный визуальный блок результатов в Streamlit.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J1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Проведение нагрузочного тестирования API и проверка лимитов.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Отчет по задержкам генерации контента.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J2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Разработка скрипта автоматической генерации 6-слайдовой презентации.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Python-модуль сборки презентаций ppt_generator.py.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J3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Формирование шаблона и структуры аналитической справки в Markdown.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Шаблонизатор отчетов по ТЗ хакатона.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День 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Финальный код-ревью, упаковка бэкенда в Docker, деплой на SourceCraft.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Работающий веб-ресурс на платформе SourceCraft.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Полировка UI/UX, оптимизация частоты перезапуска карты Folium.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Готовое MVP приложение с идеальной отзывчивостью.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J1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Развертывание локальной копии базы данных на хостинге в качестве бэкапа.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Резервный сервер базы данных.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J2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Написание сквозных интеграционных тестов расчетов сметы и площадей.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Набор автоматических тестов верификации расчетов.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J3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Написание пользовательских инструкций, сборка финальной презентации защиты.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Пакет документации и слайды для защиты проекта.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E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Реализуемые форматы выходных данных (в строгом соответствии с ТЗ):</w:t>
      </w:r>
    </w:p>
    <w:p w:rsidR="00000000" w:rsidDel="00000000" w:rsidP="00000000" w:rsidRDefault="00000000" w:rsidRPr="00000000" w14:paraId="000000E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Аналитическая справка (Markdown-генерация):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включает социальный паспорт региона (индексы, обеспеченность садами, аренда, колледжи), экономический блок (льготы, ОЭЗ, тарифы, влияние ФОТ), сетевой блок (газ, мощность), логистику сырья (расстояния до стали/утеплителя), рекомендации по удержанию сотрудников (доставка автобусами, если удаленность площадки превышает 15 км) и готовую смету строительства.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E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Презентация для администрации (6 слайдов):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автоматическая сборка с наполнением реальными цифрами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E4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Слайд 1: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Титульный слайд с названием и локацией проекта.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E5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Слайд 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Параметры производства, планируемый объем выпуска и создаваемые рабочие места.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E6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Слайд 3: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4 рендера фасадов завода (север, юг, восток, запад).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E7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Слайд 4: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Схематичный генеральный план участка с размещением социальных объектов (детский сад, спортивные площадки, столовая).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E8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Слайд 5: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Соответствие градостроительным нормативам и доступность сетевой инфраструктуры (газ, кВА электричества).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E9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Слайд 6: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Экономический эффект для региона: привлечение инвестиций, налоговые отчисления, социальные выгоды и занятость.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E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Техническая документация: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включает подробные пользовательские инструкции и технический проект архитектуры приложения для размещения в репозиториях GitHub/GitLab.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E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Карта рисков проекта и превентивные меры</w:t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Эффективное управление рисками на ранних стадиях гарантирует стабильность работы сервиса на очной защите перед экспертами и заказчиками.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E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Матрица рисков и стратегий их минимизации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Рисковое событие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Уровень угрозы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Влияние на проект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Превентивные меры и архитектурные решения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Отказ внешнего API генерации LLM во время демонстрации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Высокий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Невозможность сгенерировать аналитическую справку и концепт-борд.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Реализация кэширования ответов в бэкенде. Интеграция статического fallback-модуля (J1): если API возвращает ошибку, система мгновенно отдает качественные, заранее сгенерированные тексты для выбранной площадки из локального JSON.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41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Ошибки структуры JSON при ответах LLM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Средний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Падение парсера бэкенда, пустые экраны в интерфейсе.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Использование метода client.beta.chat.completions.parse() с аппаратной гарантией схемы на стороне OpenAI, либо интеграция Instructor с автоматическими повторными попытками исправлений.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Превышение сметы над бюджетом инвестора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Средний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Противоречие в бизнес-сценарии, снижение реалистичности MVP.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Разработка логического блока автокоррекции (J2): при превышении бюджета система выдает рекомендации по оптимизации (например, замена квартир на общежития или сокращение площади благоустройства).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Мерцание и перезагрузка карты Folium в Streamlit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Средний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Критическое ухудшение UX, раздражение пользователя при работе.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Строгое ограничение объектов перезапуска через параметр returned_objects=["last_clicked"] в компоненте st_folium.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Блокировки IP-адреса сервера облачным провайдером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Низкий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Полная неработоспособность бэкенда.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Использование проверенных и стабильных API-шлюзов с зеркалированием запросов, развертывание контейнеров на SourceCraft.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1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Заключение и стратегические рекомендации</w:t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Разрабатываемое веб-приложение представляет собой сбалансированное и технологичное решение, полностью отвечающее критериям оценки хакатона.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Исключение тяжелой 3D-графики на Three.js позволяет команде сфокусироваться на качестве реализации ключевых функциональных возможностей MVP, обеспечив максимальную реалистичность и глубину интеграции региональных факторов.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Анализ структуры критериев оценки показывает верность выбранных архитектурных приоритетов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10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Реалистичность региональных факторов (вес 20%):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полностью закрывается за счет детального однократного сбора реальных статистических данных Росстата и тарифов 2025–2026 годов по 5 ключевым промышленным регионам РФ.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10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Качество плана благоустройства (вес 20%):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математически рассчитывается на основе строгих формул площадей и нормативов ТЗ, увязывая размеры социальных и спортивных объектов со штатом сотрудников.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10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Наглядность и интерактивность (вес 15%):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обеспечивается быстрой работой двунаправленной карты Folium в интерфейсе Streamlit с мгновенным откликом на клики пользователя.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36</w:t>
      </w:r>
    </w:p>
    <w:p w:rsidR="00000000" w:rsidDel="00000000" w:rsidP="00000000" w:rsidRDefault="00000000" w:rsidRPr="00000000" w14:paraId="0000010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Инновационность (вес 15%):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реализуется через передовой подход Structured Output для генерации стилистических концептов и аналитики силами LLM без риска сбоев форматирования.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33</w:t>
      </w:r>
    </w:p>
    <w:p w:rsidR="00000000" w:rsidDel="00000000" w:rsidP="00000000" w:rsidRDefault="00000000" w:rsidRPr="00000000" w14:paraId="0000010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Презентация и UX (вес 15%):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лаконичная форма из 10 полей ввода и автоматическая генерация кастомизированной 6-слайдовой презентации гарантируют высокий уровень оценки жюри.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10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Качество 4 рендеров (вес 15%):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достигается тонкой настройкой промптов под разные стороны света на основе сгенерированного культурного кода региона.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Команде рекомендуется строго придерживаться суточного графика интеграции, контролировать наполнение сессионного состояния Streamlit для плавности UX и использовать разработанный локальный fallback-режим для генеративного контента, что гарантирует демонстрацию полностью стабильного, быстрого и защищенного от сбоев веб-приложения на финальном этапе защиты проекта.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11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Источники</w:t>
      </w:r>
    </w:p>
    <w:p w:rsidR="00000000" w:rsidDel="00000000" w:rsidP="00000000" w:rsidRDefault="00000000" w:rsidRPr="00000000" w14:paraId="0000011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ТЗ Хакатон май 2026 (финальная).docx</w:t>
      </w:r>
    </w:p>
    <w:p w:rsidR="00000000" w:rsidDel="00000000" w:rsidP="00000000" w:rsidRDefault="00000000" w:rsidRPr="00000000" w14:paraId="0000011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GitHub - Anorov/cloudflare-scrape: A Python module to bypass Cloudflare's anti-bot page., дата последнего обращения: мая 24, 2026, </w:t>
      </w:r>
      <w:hyperlink r:id="rId6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https://github.com/Anorov/cloudflare-scrape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FAQ - Frequently Asked Questions, дата последнего обращения: мая 24, 2026, </w:t>
      </w:r>
      <w:hyperlink r:id="rId6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https://mobileproxy.space/en/faq.html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Подмосковье вновь в топ-3 рейтинга инвестпривлекательности регионов РФ - Министерство инвестиций, промышленности и науки Московской области, дата последнего обращения: мая 24, 2026, </w:t>
      </w:r>
      <w:hyperlink r:id="rId7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https://mii.mosreg.ru/sobytiya/novosti-ministerstva/podmoskove-vnov-v-top-3-reitinga-investprivlekatelnosti-regionov-rf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Пять индустриальных площадок Подмосковья вошли в топ-10 рейтинга инвестпривлекательности - Правительство Московской области, дата последнего обращения: мая 24, 2026, </w:t>
      </w:r>
      <w:hyperlink r:id="rId7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https://mosreg.ru/sobytiya/novosti/organy/ministerstvo-investiciy-i-innovaciy/pyat-industrialnykh-ploshadok-podmoskovya-voshli-v-top-10-reitinga-investprivlekatelnosti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Члены АПНППУ, дата последнего обращения: мая 24, 2026, </w:t>
      </w:r>
      <w:hyperlink r:id="rId7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https://ppu.ru/members/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Минстрой России опубликовал Индекс качества городской среды 2024 - Умный город, дата последнего обращения: мая 24, 2026, </w:t>
      </w:r>
      <w:hyperlink r:id="rId7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https://russiasmartcity.ru/%D0%BC%D0%B8%D0%BD%D1%81%D1%82%D1%80%D0%BE%D0%B9-%D1%80%D0%BE%D1%81%D1%81%D0%B8%D0%B8-%D0%BE%D0%BF%D1%83%D0%B1%D0%BB%D0%B8%D0%BA%D0%BE%D0%B2%D0%B0%D0%BB-%D0%B8%D0%BD%D0%B4%D0%B5%D0%BA%D1%81-%D0%BA/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Экотермикс: Компоненты ППУ (полиуретан) с завода-производителя, дата последнего обращения: мая 24, 2026, </w:t>
      </w:r>
      <w:hyperlink r:id="rId7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https://ecotermix.ru/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Средняя зарплата в Ленинградской области в 2026 году: данные Росстата - GOGOV, дата последнего обращения: мая 24, 2026, </w:t>
      </w:r>
      <w:hyperlink r:id="rId7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https://gogov.ru/average-salary/lo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Контакты ПАО НЛМК | Адреса складов - NLMK.shop, дата последнего обращения: мая 24, 2026, </w:t>
      </w:r>
      <w:hyperlink r:id="rId7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https://nlmk.shop/contacts/storage/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Средняя зарплата по ВСЕМ регионам РФ в 2026 году: цифры от Росстата - Главбух, дата последнего обращения: мая 24, 2026, </w:t>
      </w:r>
      <w:hyperlink r:id="rId7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https://www.glavbukh.ru/art/393189-srednyaya-zarplata-po-regionam-rf-tablitsa-novyh-news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Производители теплоизоляционных материалов в России - Заводы РФ, дата последнего обращения: мая 24, 2026, </w:t>
      </w:r>
      <w:hyperlink r:id="rId7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https://xn--80aegj1b5e.xn--p1ai/factories/proizvoditeli-teploizolyacionnyh-materialov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Средняя зарплата в Нижегородской области в 2026 году: данные Росстата - GOGOV, дата последнего обращения: мая 24, 2026, </w:t>
      </w:r>
      <w:hyperlink r:id="rId7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https://gogov.ru/average-salary/ngo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Новые тарифы на электроэнергию в 2025 году: что изменится для россиян?, дата последнего обращения: мая 24, 2026, </w:t>
      </w:r>
      <w:hyperlink r:id="rId8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https://www.ingos.ru/company/blog/2024/novye-tarify-na-elektroenergiyu-2025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Средняя зарплата в Татарстане в 2026 году: данные Росстата - GOGOV, дата последнего обращения: мая 24, 2026, </w:t>
      </w:r>
      <w:hyperlink r:id="rId8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https://gogov.ru/average-salary/rt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Доходяги. Что скрывают средние цифры Росстата по России о зарплате и доходах граждан. Вырос ли достаток на самом деле и у кого как? - Новая газета, дата последнего обращения: мая 24, 2026, </w:t>
      </w:r>
      <w:hyperlink r:id="rId8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https://novayagazeta.ru/articles/2026/05/22/dokhodiagi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Средняя зарплата в России в 2026 году от Росстата - GOGOV, дата последнего обращения: мая 24, 2026, </w:t>
      </w:r>
      <w:hyperlink r:id="rId8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https://gogov.ru/articles/average-salary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Итоги Индекса качества городской среды за 2024 год, дата последнего обращения: мая 24, 2026, </w:t>
      </w:r>
      <w:hyperlink r:id="rId8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https://mintrans.gov.ru/press-center/branch-news/6607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Сформирован ИНДЕКС качества городской среды за 2024 год - Gorodsreda.ru, дата последнего обращения: мая 24, 2026, </w:t>
      </w:r>
      <w:hyperlink r:id="rId8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https://gorodsreda.ru/tpost/x1t6gku901-sformirovan-indeks-kachestva-gorodskoi-s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Аренда 1-комнатных квартир без посредников в Екатеринбурге - Циан, дата последнего обращения: мая 24, 2026, </w:t>
      </w:r>
      <w:hyperlink r:id="rId8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https://ekb.cian.ru/snyat-1-komnatnuyu-kvartiru-bez-posrednikov/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Средняя зарплата в Татарстане увеличилась на 20% за 2025 год — с 75,5 тыс. до 90,5 тыс. рублей. Об этом сообщается в.. 2026 | ВКонтакте, дата последнего обращения: мая 24, 2026, </w:t>
      </w:r>
      <w:hyperlink r:id="rId8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https://vk.com/wall-35893372_4016377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Росстат: средняя зарплата в Татарстане в 2025 году составила 90 515 рублей - Inde.io, дата последнего обращения: мая 24, 2026, </w:t>
      </w:r>
      <w:hyperlink r:id="rId8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https://inde.io/news/rosstat-srednyaya-zarplata-v-tatarstane-v-2025-godu-sostavila-90-515-rublej/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Средняя зарплата в Санкт-Петербурге и Ленинградской области в 2026 году, дата последнего обращения: мая 24, 2026, </w:t>
      </w:r>
      <w:hyperlink r:id="rId8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https://brobank.ru/srednyaya-zarplata-v-sankt-peterburge/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Индекс качества городской среды — 2024: как изменились 32 атомных города за год, дата последнего обращения: мая 24, 2026, </w:t>
      </w:r>
      <w:hyperlink r:id="rId9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https://goroda.media/indeks-kachestva-gorodskoy-sredy-2024-kak-izmenilis-32-atomnyh-goroda-za-god/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Аренда квартир в Екатеринбурге на длительный срок (от 16,8 тыс. руб.) - Циан, дата последнего обращения: мая 24, 2026, </w:t>
      </w:r>
      <w:hyperlink r:id="rId9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https://ekb.cian.ru/snyat-kvartiru/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Индекс качества городской среды, дата последнего обращения: мая 24, 2026, </w:t>
      </w:r>
      <w:hyperlink r:id="rId9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https://xn----dtbcccdtsypabxk.xn--p1ai/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Контакты НЛМК Липецк, дата последнего обращения: мая 24, 2026, </w:t>
      </w:r>
      <w:hyperlink r:id="rId9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https://lipetsk.nlmk.com/ru/contacts/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Северсталь ПАО, Череповецкий металлургический комбинат, ЧерМК, дата последнего обращения: мая 24, 2026, </w:t>
      </w:r>
      <w:hyperlink r:id="rId9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https://ibprom.ru/cherepoveckiy-metallurgicheskiy-kom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Череповецкий металлургический комбинат — Партнеры НРБ, дата последнего обращения: мая 24, 2026, </w:t>
      </w:r>
      <w:hyperlink r:id="rId9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https://nrb-rspp.ru/partners/severstal-71103/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Контакты - Северсталь, дата последнего обращения: мая 24, 2026, </w:t>
      </w:r>
      <w:hyperlink r:id="rId9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https://severstal.com/rus/contacts/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Производители пенополиуретана – список производств в России - Fabricators.ru, дата последнего обращения: мая 24, 2026, </w:t>
      </w:r>
      <w:hyperlink r:id="rId9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https://fabricators.ru/produkt/penopoliuretan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Output | Pydantic Docs, дата последнего обращения: мая 24, 2026, </w:t>
      </w:r>
      <w:hyperlink r:id="rId9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https://pydantic.dev/docs/ai/core-concepts/output/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Stop Parsing JSON by Hand: Structured LLM Outputs With Pydantic - DEV Community, дата последнего обращения: мая 24, 2026, </w:t>
      </w:r>
      <w:hyperlink r:id="rId9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https://dev.to/klement_gunndu/stop-parsing-json-by-hand-structured-llm-outputs-with-pydantic-1pg0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Structured outputs with OpenAI and Pydantic - dida, дата последнего обращения: мая 24, 2026, </w:t>
      </w:r>
      <w:hyperlink r:id="rId10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https://dida.do/blog/structured-outputs-with-openai-and-pydantic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Build AI Apps with Structured Output using Pydantic, Langchain, Streamlit and Snowflake Cortex, дата последнего обращения: мая 24, 2026, </w:t>
      </w:r>
      <w:hyperlink r:id="rId10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https://www.snowflake.com/en/developers/guides/build-ai-apps-with-pydantic-langchain-streamlit-and-snowflake-cortex/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streamlit-folium/streamlit_folium/__init__.py at master - GitHub, дата последнего обращения: мая 24, 2026, </w:t>
      </w:r>
      <w:hyperlink r:id="rId10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https://github.com/randyzwitch/streamlit-folium/blob/master/streamlit_folium/__init__.py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Designing Operations Research Solutions: A User-friendly Routing Application with Streamlit | by Bruno Scalia C. F. Leite | TDS Archive | Medium, дата последнего обращения: мая 24, 2026, </w:t>
      </w:r>
      <w:hyperlink r:id="rId10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https://medium.com/data-science/designing-operations-research-solutions-a-user-friendly-routing-application-with-streamlit-17212553861d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Returning Latitude, Longitude values from folium map on mouse click to python script (streamlit webapp) - Stack Overflow, дата последнего обращения: мая 24, 2026, </w:t>
      </w:r>
      <w:hyperlink r:id="rId10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https://stackoverflow.com/questions/63413571/returning-latitude-longitude-values-from-folium-map-on-mouse-click-to-python-sc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Add marker after clicking on map - Using Streamlit, дата последнего обращения: мая 24, 2026, </w:t>
      </w:r>
      <w:hyperlink r:id="rId10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https://discuss.streamlit.io/t/add-marker-after-clicking-on-map/69472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Show data points based on bounding box - Using Streamlit, дата последнего обращения: мая 24, 2026, </w:t>
      </w:r>
      <w:hyperlink r:id="rId10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https://discuss.streamlit.io/t/show-data-points-based-on-bounding-box/61678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How to Use a Single Pydantic Model for Structured Output with Long Documents in a Chunked RAG Pipeline? - OpenAI Developer Community, дата последнего обращения: мая 24, 2026, </w:t>
      </w:r>
      <w:hyperlink r:id="rId10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https://community.openai.com/t/how-to-use-a-single-pydantic-model-for-structured-output-with-long-documents-in-a-chunked-rag-pipeline/1080681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6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6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7.png"/><Relationship Id="rId42" Type="http://schemas.openxmlformats.org/officeDocument/2006/relationships/image" Target="media/image3.png"/><Relationship Id="rId41" Type="http://schemas.openxmlformats.org/officeDocument/2006/relationships/image" Target="media/image17.png"/><Relationship Id="rId44" Type="http://schemas.openxmlformats.org/officeDocument/2006/relationships/image" Target="media/image21.png"/><Relationship Id="rId43" Type="http://schemas.openxmlformats.org/officeDocument/2006/relationships/image" Target="media/image18.png"/><Relationship Id="rId46" Type="http://schemas.openxmlformats.org/officeDocument/2006/relationships/image" Target="media/image16.png"/><Relationship Id="rId45" Type="http://schemas.openxmlformats.org/officeDocument/2006/relationships/image" Target="media/image15.png"/><Relationship Id="rId107" Type="http://schemas.openxmlformats.org/officeDocument/2006/relationships/hyperlink" Target="https://community.openai.com/t/how-to-use-a-single-pydantic-model-for-structured-output-with-long-documents-in-a-chunked-rag-pipeline/1080681" TargetMode="External"/><Relationship Id="rId106" Type="http://schemas.openxmlformats.org/officeDocument/2006/relationships/hyperlink" Target="https://discuss.streamlit.io/t/show-data-points-based-on-bounding-box/61678" TargetMode="External"/><Relationship Id="rId105" Type="http://schemas.openxmlformats.org/officeDocument/2006/relationships/hyperlink" Target="https://discuss.streamlit.io/t/add-marker-after-clicking-on-map/69472" TargetMode="External"/><Relationship Id="rId104" Type="http://schemas.openxmlformats.org/officeDocument/2006/relationships/hyperlink" Target="https://stackoverflow.com/questions/63413571/returning-latitude-longitude-values-from-folium-map-on-mouse-click-to-python-sc" TargetMode="External"/><Relationship Id="rId48" Type="http://schemas.openxmlformats.org/officeDocument/2006/relationships/image" Target="media/image6.png"/><Relationship Id="rId47" Type="http://schemas.openxmlformats.org/officeDocument/2006/relationships/image" Target="media/image12.png"/><Relationship Id="rId49" Type="http://schemas.openxmlformats.org/officeDocument/2006/relationships/image" Target="media/image62.png"/><Relationship Id="rId103" Type="http://schemas.openxmlformats.org/officeDocument/2006/relationships/hyperlink" Target="https://medium.com/data-science/designing-operations-research-solutions-a-user-friendly-routing-application-with-streamlit-17212553861d" TargetMode="External"/><Relationship Id="rId102" Type="http://schemas.openxmlformats.org/officeDocument/2006/relationships/hyperlink" Target="https://github.com/randyzwitch/streamlit-folium/blob/master/streamlit_folium/__init__.py" TargetMode="External"/><Relationship Id="rId101" Type="http://schemas.openxmlformats.org/officeDocument/2006/relationships/hyperlink" Target="https://www.snowflake.com/en/developers/guides/build-ai-apps-with-pydantic-langchain-streamlit-and-snowflake-cortex/" TargetMode="External"/><Relationship Id="rId100" Type="http://schemas.openxmlformats.org/officeDocument/2006/relationships/hyperlink" Target="https://dida.do/blog/structured-outputs-with-openai-and-pydantic" TargetMode="External"/><Relationship Id="rId31" Type="http://schemas.openxmlformats.org/officeDocument/2006/relationships/image" Target="media/image2.png"/><Relationship Id="rId30" Type="http://schemas.openxmlformats.org/officeDocument/2006/relationships/image" Target="media/image5.png"/><Relationship Id="rId33" Type="http://schemas.openxmlformats.org/officeDocument/2006/relationships/image" Target="media/image8.png"/><Relationship Id="rId32" Type="http://schemas.openxmlformats.org/officeDocument/2006/relationships/image" Target="media/image10.png"/><Relationship Id="rId35" Type="http://schemas.openxmlformats.org/officeDocument/2006/relationships/image" Target="media/image4.png"/><Relationship Id="rId34" Type="http://schemas.openxmlformats.org/officeDocument/2006/relationships/image" Target="media/image14.png"/><Relationship Id="rId37" Type="http://schemas.openxmlformats.org/officeDocument/2006/relationships/image" Target="media/image9.png"/><Relationship Id="rId36" Type="http://schemas.openxmlformats.org/officeDocument/2006/relationships/image" Target="media/image19.png"/><Relationship Id="rId39" Type="http://schemas.openxmlformats.org/officeDocument/2006/relationships/image" Target="media/image1.png"/><Relationship Id="rId38" Type="http://schemas.openxmlformats.org/officeDocument/2006/relationships/image" Target="media/image11.png"/><Relationship Id="rId20" Type="http://schemas.openxmlformats.org/officeDocument/2006/relationships/image" Target="media/image23.png"/><Relationship Id="rId22" Type="http://schemas.openxmlformats.org/officeDocument/2006/relationships/image" Target="media/image36.png"/><Relationship Id="rId21" Type="http://schemas.openxmlformats.org/officeDocument/2006/relationships/image" Target="media/image60.png"/><Relationship Id="rId24" Type="http://schemas.openxmlformats.org/officeDocument/2006/relationships/image" Target="media/image31.png"/><Relationship Id="rId23" Type="http://schemas.openxmlformats.org/officeDocument/2006/relationships/image" Target="media/image25.png"/><Relationship Id="rId26" Type="http://schemas.openxmlformats.org/officeDocument/2006/relationships/image" Target="media/image33.png"/><Relationship Id="rId25" Type="http://schemas.openxmlformats.org/officeDocument/2006/relationships/image" Target="media/image32.png"/><Relationship Id="rId28" Type="http://schemas.openxmlformats.org/officeDocument/2006/relationships/image" Target="media/image49.png"/><Relationship Id="rId27" Type="http://schemas.openxmlformats.org/officeDocument/2006/relationships/image" Target="media/image42.png"/><Relationship Id="rId29" Type="http://schemas.openxmlformats.org/officeDocument/2006/relationships/image" Target="media/image43.png"/><Relationship Id="rId95" Type="http://schemas.openxmlformats.org/officeDocument/2006/relationships/hyperlink" Target="https://nrb-rspp.ru/partners/severstal-71103/" TargetMode="External"/><Relationship Id="rId94" Type="http://schemas.openxmlformats.org/officeDocument/2006/relationships/hyperlink" Target="https://ibprom.ru/cherepoveckiy-metallurgicheskiy-kom" TargetMode="External"/><Relationship Id="rId97" Type="http://schemas.openxmlformats.org/officeDocument/2006/relationships/hyperlink" Target="https://fabricators.ru/produkt/penopoliuretan" TargetMode="External"/><Relationship Id="rId96" Type="http://schemas.openxmlformats.org/officeDocument/2006/relationships/hyperlink" Target="https://severstal.com/rus/contacts/" TargetMode="External"/><Relationship Id="rId11" Type="http://schemas.openxmlformats.org/officeDocument/2006/relationships/image" Target="media/image45.png"/><Relationship Id="rId99" Type="http://schemas.openxmlformats.org/officeDocument/2006/relationships/hyperlink" Target="https://dev.to/klement_gunndu/stop-parsing-json-by-hand-structured-llm-outputs-with-pydantic-1pg0" TargetMode="External"/><Relationship Id="rId10" Type="http://schemas.openxmlformats.org/officeDocument/2006/relationships/image" Target="media/image39.png"/><Relationship Id="rId98" Type="http://schemas.openxmlformats.org/officeDocument/2006/relationships/hyperlink" Target="https://pydantic.dev/docs/ai/core-concepts/output/" TargetMode="External"/><Relationship Id="rId13" Type="http://schemas.openxmlformats.org/officeDocument/2006/relationships/image" Target="media/image24.png"/><Relationship Id="rId12" Type="http://schemas.openxmlformats.org/officeDocument/2006/relationships/image" Target="media/image38.png"/><Relationship Id="rId91" Type="http://schemas.openxmlformats.org/officeDocument/2006/relationships/hyperlink" Target="https://ekb.cian.ru/snyat-kvartiru/" TargetMode="External"/><Relationship Id="rId90" Type="http://schemas.openxmlformats.org/officeDocument/2006/relationships/hyperlink" Target="https://goroda.media/indeks-kachestva-gorodskoy-sredy-2024-kak-izmenilis-32-atomnyh-goroda-za-god/" TargetMode="External"/><Relationship Id="rId93" Type="http://schemas.openxmlformats.org/officeDocument/2006/relationships/hyperlink" Target="https://lipetsk.nlmk.com/ru/contacts/" TargetMode="External"/><Relationship Id="rId92" Type="http://schemas.openxmlformats.org/officeDocument/2006/relationships/hyperlink" Target="https://xn----dtbcccdtsypabxk.xn--p1ai/" TargetMode="External"/><Relationship Id="rId15" Type="http://schemas.openxmlformats.org/officeDocument/2006/relationships/image" Target="media/image50.png"/><Relationship Id="rId14" Type="http://schemas.openxmlformats.org/officeDocument/2006/relationships/image" Target="media/image48.png"/><Relationship Id="rId17" Type="http://schemas.openxmlformats.org/officeDocument/2006/relationships/image" Target="media/image56.png"/><Relationship Id="rId16" Type="http://schemas.openxmlformats.org/officeDocument/2006/relationships/image" Target="media/image54.png"/><Relationship Id="rId19" Type="http://schemas.openxmlformats.org/officeDocument/2006/relationships/image" Target="media/image53.png"/><Relationship Id="rId18" Type="http://schemas.openxmlformats.org/officeDocument/2006/relationships/image" Target="media/image59.png"/><Relationship Id="rId84" Type="http://schemas.openxmlformats.org/officeDocument/2006/relationships/hyperlink" Target="https://mintrans.gov.ru/press-center/branch-news/6607" TargetMode="External"/><Relationship Id="rId83" Type="http://schemas.openxmlformats.org/officeDocument/2006/relationships/hyperlink" Target="https://gogov.ru/articles/average-salary" TargetMode="External"/><Relationship Id="rId86" Type="http://schemas.openxmlformats.org/officeDocument/2006/relationships/hyperlink" Target="https://ekb.cian.ru/snyat-1-komnatnuyu-kvartiru-bez-posrednikov/" TargetMode="External"/><Relationship Id="rId85" Type="http://schemas.openxmlformats.org/officeDocument/2006/relationships/hyperlink" Target="https://gorodsreda.ru/tpost/x1t6gku901-sformirovan-indeks-kachestva-gorodskoi-s" TargetMode="External"/><Relationship Id="rId88" Type="http://schemas.openxmlformats.org/officeDocument/2006/relationships/hyperlink" Target="https://inde.io/news/rosstat-srednyaya-zarplata-v-tatarstane-v-2025-godu-sostavila-90-515-rublej/" TargetMode="External"/><Relationship Id="rId87" Type="http://schemas.openxmlformats.org/officeDocument/2006/relationships/hyperlink" Target="https://vk.com/wall-35893372_4016377" TargetMode="External"/><Relationship Id="rId89" Type="http://schemas.openxmlformats.org/officeDocument/2006/relationships/hyperlink" Target="https://brobank.ru/srednyaya-zarplata-v-sankt-peterburge/" TargetMode="External"/><Relationship Id="rId80" Type="http://schemas.openxmlformats.org/officeDocument/2006/relationships/hyperlink" Target="https://www.ingos.ru/company/blog/2024/novye-tarify-na-elektroenergiyu-2025" TargetMode="External"/><Relationship Id="rId82" Type="http://schemas.openxmlformats.org/officeDocument/2006/relationships/hyperlink" Target="https://novayagazeta.ru/articles/2026/05/22/dokhodiagi" TargetMode="External"/><Relationship Id="rId81" Type="http://schemas.openxmlformats.org/officeDocument/2006/relationships/hyperlink" Target="https://gogov.ru/average-salary/r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0.png"/><Relationship Id="rId5" Type="http://schemas.openxmlformats.org/officeDocument/2006/relationships/styles" Target="styles.xml"/><Relationship Id="rId6" Type="http://schemas.openxmlformats.org/officeDocument/2006/relationships/image" Target="media/image58.png"/><Relationship Id="rId7" Type="http://schemas.openxmlformats.org/officeDocument/2006/relationships/image" Target="media/image37.png"/><Relationship Id="rId8" Type="http://schemas.openxmlformats.org/officeDocument/2006/relationships/image" Target="media/image13.png"/><Relationship Id="rId73" Type="http://schemas.openxmlformats.org/officeDocument/2006/relationships/hyperlink" Target="https://russiasmartcity.ru/%D0%BC%D0%B8%D0%BD%D1%81%D1%82%D1%80%D0%BE%D0%B9-%D1%80%D0%BE%D1%81%D1%81%D0%B8%D0%B8-%D0%BE%D0%BF%D1%83%D0%B1%D0%BB%D0%B8%D0%BA%D0%BE%D0%B2%D0%B0%D0%BB-%D0%B8%D0%BD%D0%B4%D0%B5%D0%BA%D1%81-%D0%BA/" TargetMode="External"/><Relationship Id="rId72" Type="http://schemas.openxmlformats.org/officeDocument/2006/relationships/hyperlink" Target="https://ppu.ru/members/" TargetMode="External"/><Relationship Id="rId75" Type="http://schemas.openxmlformats.org/officeDocument/2006/relationships/hyperlink" Target="https://gogov.ru/average-salary/lo" TargetMode="External"/><Relationship Id="rId74" Type="http://schemas.openxmlformats.org/officeDocument/2006/relationships/hyperlink" Target="https://ecotermix.ru/" TargetMode="External"/><Relationship Id="rId77" Type="http://schemas.openxmlformats.org/officeDocument/2006/relationships/hyperlink" Target="https://www.glavbukh.ru/art/393189-srednyaya-zarplata-po-regionam-rf-tablitsa-novyh-news" TargetMode="External"/><Relationship Id="rId76" Type="http://schemas.openxmlformats.org/officeDocument/2006/relationships/hyperlink" Target="https://nlmk.shop/contacts/storage/" TargetMode="External"/><Relationship Id="rId79" Type="http://schemas.openxmlformats.org/officeDocument/2006/relationships/hyperlink" Target="https://gogov.ru/average-salary/ngo" TargetMode="External"/><Relationship Id="rId78" Type="http://schemas.openxmlformats.org/officeDocument/2006/relationships/hyperlink" Target="https://xn--80aegj1b5e.xn--p1ai/factories/proizvoditeli-teploizolyacionnyh-materialov" TargetMode="External"/><Relationship Id="rId71" Type="http://schemas.openxmlformats.org/officeDocument/2006/relationships/hyperlink" Target="https://mosreg.ru/sobytiya/novosti/organy/ministerstvo-investiciy-i-innovaciy/pyat-industrialnykh-ploshadok-podmoskovya-voshli-v-top-10-reitinga-investprivlekatelnosti" TargetMode="External"/><Relationship Id="rId70" Type="http://schemas.openxmlformats.org/officeDocument/2006/relationships/hyperlink" Target="https://mii.mosreg.ru/sobytiya/novosti-ministerstva/podmoskove-vnov-v-top-3-reitinga-investprivlekatelnosti-regionov-rf" TargetMode="External"/><Relationship Id="rId62" Type="http://schemas.openxmlformats.org/officeDocument/2006/relationships/image" Target="media/image30.png"/><Relationship Id="rId61" Type="http://schemas.openxmlformats.org/officeDocument/2006/relationships/image" Target="media/image29.png"/><Relationship Id="rId64" Type="http://schemas.openxmlformats.org/officeDocument/2006/relationships/image" Target="media/image27.png"/><Relationship Id="rId63" Type="http://schemas.openxmlformats.org/officeDocument/2006/relationships/image" Target="media/image51.png"/><Relationship Id="rId66" Type="http://schemas.openxmlformats.org/officeDocument/2006/relationships/image" Target="media/image20.png"/><Relationship Id="rId65" Type="http://schemas.openxmlformats.org/officeDocument/2006/relationships/image" Target="media/image35.png"/><Relationship Id="rId68" Type="http://schemas.openxmlformats.org/officeDocument/2006/relationships/hyperlink" Target="https://github.com/Anorov/cloudflare-scrape" TargetMode="External"/><Relationship Id="rId67" Type="http://schemas.openxmlformats.org/officeDocument/2006/relationships/image" Target="media/image28.png"/><Relationship Id="rId60" Type="http://schemas.openxmlformats.org/officeDocument/2006/relationships/image" Target="media/image34.png"/><Relationship Id="rId69" Type="http://schemas.openxmlformats.org/officeDocument/2006/relationships/hyperlink" Target="https://mobileproxy.space/en/faq.html" TargetMode="External"/><Relationship Id="rId51" Type="http://schemas.openxmlformats.org/officeDocument/2006/relationships/image" Target="media/image47.png"/><Relationship Id="rId50" Type="http://schemas.openxmlformats.org/officeDocument/2006/relationships/image" Target="media/image46.png"/><Relationship Id="rId53" Type="http://schemas.openxmlformats.org/officeDocument/2006/relationships/image" Target="media/image41.png"/><Relationship Id="rId52" Type="http://schemas.openxmlformats.org/officeDocument/2006/relationships/image" Target="media/image44.png"/><Relationship Id="rId55" Type="http://schemas.openxmlformats.org/officeDocument/2006/relationships/image" Target="media/image52.png"/><Relationship Id="rId54" Type="http://schemas.openxmlformats.org/officeDocument/2006/relationships/image" Target="media/image57.png"/><Relationship Id="rId57" Type="http://schemas.openxmlformats.org/officeDocument/2006/relationships/image" Target="media/image55.png"/><Relationship Id="rId56" Type="http://schemas.openxmlformats.org/officeDocument/2006/relationships/image" Target="media/image61.png"/><Relationship Id="rId59" Type="http://schemas.openxmlformats.org/officeDocument/2006/relationships/image" Target="media/image26.png"/><Relationship Id="rId58" Type="http://schemas.openxmlformats.org/officeDocument/2006/relationships/image" Target="media/image2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