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Planejamento: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Variáveis: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tempo gasto para resolver o problema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curso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sexo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grau de dificuldade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Objetivo: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Encontrar a influencia do curso sexo e grau de dificuldade no tempo gasto.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Resumo estatístico do tempo para terminar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  1085.942857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desvio padrão </w:t>
        <w:tab/>
        <w:t xml:space="preserve">551.919388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mínimo </w:t>
        <w:tab/>
        <w:t xml:space="preserve">233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primeiro quartil </w:t>
        <w:tab/>
        <w:t xml:space="preserve">642.75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mediana </w:t>
        <w:tab/>
        <w:t xml:space="preserve">952.5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terceiro quartil</w:t>
        <w:tab/>
        <w:t xml:space="preserve">1449.5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máximo</w:t>
        <w:tab/>
        <w:t xml:space="preserve">2887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Conclusão: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 a análise dos gráficos, é possível visualizar que a dificuldade do problema altera significativamente o tempo demorado para a execução do problema.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variação do tempo aumenta proporcionalmente a dificuldade do problema e a mediana tem um leve aumento.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Já na análise da influência por curso, a mediana e a variação dos tempos é levemente maior para o curso de Desenvolvimento de Sistemas.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 grafico de tempo por sexo, A variação é bem parecida, o sexo masculino possui um outlier e a concentração dos dados do sexo feminino está em um tempo menor que o masculino, porem o sexo masculino teve mais amostras com tempos menores.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Dessa forma, é possível ver nitidamente a influência da dificuldade do problema em relação ao tempo gasto, e menores influencias em relação ao curso e o sexo.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histograma não apresenta a variação dos dados em relação às vendas do dia, somente uma média do intervalo especificado.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Histograma demonstra uma tendência a estabilização das vendas no decorrer do mês que é dificilmente observado pelo diagrama de dispersão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c)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Média de Vendas: 3,633333</w:t>
        <w:br w:type="textWrapping"/>
        <w:tab/>
        <w:t xml:space="preserve">Moda: 3 e 4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Mediana: 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Desvio padrão: 1,376736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Mínimo de vendas: 1</w:t>
        <w:br w:type="textWrapping"/>
        <w:tab/>
        <w:t xml:space="preserve">Máximo de vendas: 6</w:t>
        <w:br w:type="textWrapping"/>
        <w:tab/>
        <w:t xml:space="preserve">Primeiro Quartil: 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Terceiro Quartil: 4,75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Variância: 1,895402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Inter Quartil: 1,75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Coeficiente de Variação: 37.891819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Coeficiente de Assimetria: -0,045293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Limite Inferior: 0,375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Limite Superior: 7,375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Relato: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 vendas foram variadas entre 1 e 3 durante os primeiros 12 dias, com um crescimento de vendas após esse período e uma estabilidade entre 4 a 6 vendas a partir do dia 16.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