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Michael Ferguson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130 Baroni Ave.</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95136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BGR130B26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Michael Ferguson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$933.35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BGR130B26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Baroni Green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