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Hamid Madani</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683 Emory Ave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Campbell, CA 95008</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Hacienda Quito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HQ5104W6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5104 Westmont Ave., San Jose CA 95130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Hamid Madani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$9,570.37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HQ5104W6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Hacienda Quito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Hacienda Quito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Hacienda Quito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