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William Carpenter Trustee</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20635 Maria Court</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Castro Valley, CA 94546</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Lorena Circle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LOR19975LC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19975 Lorena Circle, Castro Valley CA 94546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William Carpenter Trustee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$292.00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LOR19975LC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Lorena Circle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Lorena Circle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Lorena Circle Homeowners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