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Maria Vida Martsolf</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2062 Holly Branch Court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RPM2062HB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2062 Holly Branch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Maria Vida Martsolf</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$1,617.55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RPM2062HB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