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THNV2928LP212</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2928 Lamory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Winnie Pi Corsa</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$63.96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THNV2928LP212</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