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Maulik Kothari</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THNV2960SP111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Maulik Kothari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$8,498.81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THNV2960SP111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