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nan Investcome Tsan Family</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4177 Stewart LN</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Santa Clara, CA 95054</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VIET909S155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909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Investcome Tsan Family</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$6,893.87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VIET909S155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Vietnam Town Condominium 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Vietnam Town Condominium 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