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VIET929S2021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Tuoi Thanh Le Thuy Thi Doan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$2,384.60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VIET929S2021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