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Diana V. Mazuera-Wiedmann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2285 Tuscany Court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East Palo Alto, CA 94303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Villa Tuscana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61534277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2285 Tuscany Court, East Palo Alto CA 94303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Diana V. Mazuera-Wiedmann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61534277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Villa Tuscana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Villa Tuscana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Villa Tuscana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