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We are grateful to the Editor and both reviewers for a careful, constructive, and rigorous review, and we thank them for the time and expertise they invested in evaluating our manuscript. The manuscript continues to address the same research question as the original submission: whether the prefectural elderly solo household rate is associated with large-volume infusion therapy utilization, and whether such an association is independent of population age structure, healthcare supply, and heat exposure. In direct response to Reviewer 2's central request, we retained the originally submitted exposure (percentage of all households consisting of one person aged ≥65 years) and added prefectural ageing rate to the same model. The exposure coefficient changed from 656.2 (95% CI 326.9–985.6) to 306.1 (95% CI −71.3–683.5), a descriptive attenuation of 53.3%, and the association was no longer statistically significant. Further adjustment for healthcare supply (β = 94.1) and heat exposure attenuated the estimate further, to near zero and reversed in sign (β = −9.4; 95% CI −493.9–475.1; p = 0.970). Using the originally submitted 2020 population denominator, the unadjusted point estimate (β = 723.4) was exactly reproduced, and the same attenuation pattern was observed. We also examined a complementary exposure using the older population as the denominator, which showed no evidence of association with infusion utilization at any stage. These analyses materially changed our conclusion: we no longer report the association as an independent, robust ecological finding. We have revised the Title, Abstract, Introduction, Results, Discussion, and Conclusions accordingly, while keeping the original research question, outcome, and primary exposure unchanged. We believe the manuscript is substantially strengthened as a result of the Editor's and reviewers' comments, and we address every point individually below.</w:t>
      </w:r>
    </w:p>
    <w:p>
      <w:r>
        <w:t>All line numbers below refer to the revised clean manuscript (continuous line numbering) and, where useful, the corresponding numbered subsection (e.g., "Methods §5," "Results §2").</w:t>
      </w:r>
    </w:p>
    <w:p>
      <w:pPr>
        <w:pBdr>
          <w:bottom w:val="single" w:sz="6" w:space="1" w:color="999999"/>
        </w:pBdr>
      </w:pPr>
    </w:p>
    <w:p>
      <w:pPr>
        <w:pStyle w:val="Heading2"/>
      </w:pPr>
      <w:r>
        <w:t>Response to the Editor</w:t>
      </w:r>
    </w:p>
    <w:p>
      <w:r>
        <w:rPr>
          <w:b/>
        </w:rPr>
        <w:t>Comment:</w:t>
      </w:r>
      <w:r>
        <w:t xml:space="preserve"> "We invite you to revise your paper, carefully addressing the comments from the reviewers and the editor. Please ensure the results are accurately reported, any overstated conclusions are rewritten and the limitations of the work fully explained."</w:t>
      </w:r>
    </w:p>
    <w:p>
      <w:r>
        <w:rPr>
          <w:b/>
        </w:rPr>
        <w:t>Response:</w:t>
      </w:r>
      <w:r>
        <w:t xml:space="preserve"> 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p>
      <w:pPr>
        <w:pBdr>
          <w:bottom w:val="single" w:sz="6" w:space="1" w:color="999999"/>
        </w:pBdr>
      </w:pPr>
    </w:p>
    <w:p>
      <w:pPr>
        <w:pStyle w:val="Heading2"/>
      </w:pPr>
      <w:r>
        <w:t>Response to Reviewer 1</w:t>
      </w:r>
    </w:p>
    <w:p>
      <w:r>
        <w:t>Reviewer 1's overall comment: "I think it was an interesting topic… My main concerns are that the relationship between heat exposure and dehydration may not be linear… AC in homes was high but it is unknown if it was used; and it was unknown what other health conditions older adults had that may also be associated with dehydration… I think with more literature in the introduction, additional details in the methods and a toned down 'association' between heat and therapy, this does present an interesting ecological study."</w:t>
      </w:r>
    </w:p>
    <w:p>
      <w:r>
        <w:rPr>
          <w:b/>
        </w:rPr>
        <w:t>Response:</w:t>
      </w:r>
      <w:r>
        <w:t xml:space="preserve"> We thank Reviewer 1 sincerely for this constructive assessment and for the considerable time and care evident in the 35 detailed inline comments. We address every comment below, in order, and we believe the manuscript has improved substantially thanks to this feedback.</w:t>
      </w:r>
    </w:p>
    <w:p>
      <w:pPr>
        <w:pStyle w:val="Heading3"/>
      </w:pPr>
      <w:r>
        <w:t>R1-1 (anchor: "47 Japanese prefectures")</w:t>
      </w:r>
    </w:p>
    <w:p>
      <w:pPr>
        <w:ind w:left="480"/>
      </w:pPr>
      <w:r>
        <w:rPr>
          <w:i/>
        </w:rPr>
        <w:t>"Is this using prefecture level data, or individual data by prefecture? How many individuals does it include as in how many people live in each prefecture?"</w:t>
      </w:r>
    </w:p>
    <w:p>
      <w:r>
        <w:rPr>
          <w:b/>
        </w:rPr>
        <w:t>Response:</w:t>
      </w:r>
      <w:r>
        <w:t xml:space="preserve"> 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p>
      <w:pPr>
        <w:pStyle w:val="Heading3"/>
      </w:pPr>
      <w:r>
        <w:t>R1-2 (anchor: "ecological")</w:t>
      </w:r>
    </w:p>
    <w:p>
      <w:pPr>
        <w:ind w:left="480"/>
      </w:pPr>
      <w:r>
        <w:rPr>
          <w:i/>
        </w:rPr>
        <w:t>"Is Community-level social isolation an ecological factor, really?"</w:t>
      </w:r>
    </w:p>
    <w:p>
      <w:r>
        <w:rPr>
          <w:b/>
        </w:rPr>
        <w:t>Response:</w:t>
      </w:r>
      <w:r>
        <w:t xml:space="preserve"> 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p>
      <w:pPr>
        <w:pStyle w:val="Heading3"/>
      </w:pPr>
      <w:r>
        <w:t>R1-3 (anchor: "WBGT")</w:t>
      </w:r>
    </w:p>
    <w:p>
      <w:pPr>
        <w:ind w:left="480"/>
      </w:pPr>
      <w:r>
        <w:rPr>
          <w:i/>
        </w:rPr>
        <w:t>"Write in full at first use."</w:t>
      </w:r>
    </w:p>
    <w:p>
      <w:r>
        <w:rPr>
          <w:b/>
        </w:rPr>
        <w:t>Response:</w:t>
      </w:r>
      <w:r>
        <w:t xml:space="preserve"> We thank the reviewer for catching this. "Wet-bulb globe temperature (WBGT)" is now spelled out at first use (Methods §1, line 102).</w:t>
      </w:r>
    </w:p>
    <w:p>
      <w:pPr>
        <w:pStyle w:val="Heading3"/>
      </w:pPr>
      <w:r>
        <w:t>R1-4 (anchor: "limited informal monitoring")</w:t>
      </w:r>
    </w:p>
    <w:p>
      <w:pPr>
        <w:ind w:left="480"/>
      </w:pPr>
      <w:r>
        <w:rPr>
          <w:i/>
        </w:rPr>
        <w:t>"Please explain what is informal monitoring. Monitoring of what?"</w:t>
      </w:r>
    </w:p>
    <w:p>
      <w:r>
        <w:rPr>
          <w:b/>
        </w:rPr>
        <w:t>Response:</w:t>
      </w:r>
      <w:r>
        <w:t xml:space="preserve"> 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p>
      <w:pPr>
        <w:pStyle w:val="Heading3"/>
      </w:pPr>
      <w:r>
        <w:t>R1-5 (anchor: reference list at end of sentence)</w:t>
      </w:r>
    </w:p>
    <w:p>
      <w:pPr>
        <w:ind w:left="480"/>
      </w:pPr>
      <w:r>
        <w:rPr>
          <w:i/>
        </w:rPr>
        <w:t>"Would be better to put the references next to the points in the sentence and not all at the end."</w:t>
      </w:r>
    </w:p>
    <w:p>
      <w:r>
        <w:rPr>
          <w:b/>
        </w:rPr>
        <w:t>Response:</w:t>
      </w:r>
      <w:r>
        <w:t xml:space="preserve"> We thank the reviewer for this helpful suggestion and have distributed citations next to the specific claims they support throughout the revised Introduction and Discussion rather than grouping them at sentence end.</w:t>
      </w:r>
    </w:p>
    <w:p>
      <w:pPr>
        <w:pStyle w:val="Heading3"/>
      </w:pPr>
      <w:r>
        <w:t>R1-6 (anchor: "NDB")</w:t>
      </w:r>
    </w:p>
    <w:p>
      <w:pPr>
        <w:ind w:left="480"/>
      </w:pPr>
      <w:r>
        <w:rPr>
          <w:i/>
        </w:rPr>
        <w:t>"Write in full at first use."</w:t>
      </w:r>
    </w:p>
    <w:p>
      <w:r>
        <w:rPr>
          <w:b/>
        </w:rPr>
        <w:t>Response:</w:t>
      </w:r>
      <w:r>
        <w:t xml:space="preserve"> We thank the reviewer for this reminder. "National Database (NDB) Open Data" is now spelled out at first use, in the Abstract (lines 28–29), and consistently thereafter in Methods §2 (lines 106–107).</w:t>
      </w:r>
    </w:p>
    <w:p>
      <w:pPr>
        <w:pStyle w:val="Heading3"/>
      </w:pPr>
      <w:r>
        <w:t>R1-7 (anchor: "2023")</w:t>
      </w:r>
    </w:p>
    <w:p>
      <w:pPr>
        <w:ind w:left="480"/>
      </w:pPr>
      <w:r>
        <w:rPr>
          <w:i/>
        </w:rPr>
        <w:t>"Is one year of data sufficient? What about year-on-year variability of environmental factors?"</w:t>
      </w:r>
    </w:p>
    <w:p>
      <w:r>
        <w:rPr>
          <w:b/>
        </w:rPr>
        <w:t>Response:</w:t>
      </w:r>
      <w:r>
        <w:t xml:space="preserve"> 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p>
      <w:pPr>
        <w:pStyle w:val="Heading3"/>
      </w:pPr>
      <w:r>
        <w:t>R1-8 (anchor: "measured at government meteorological stations")</w:t>
      </w:r>
    </w:p>
    <w:p>
      <w:pPr>
        <w:ind w:left="480"/>
      </w:pPr>
      <w:r>
        <w:rPr>
          <w:i/>
        </w:rPr>
        <w:t>"How were they measured? By whom?"</w:t>
      </w:r>
    </w:p>
    <w:p>
      <w:r>
        <w:rPr>
          <w:b/>
        </w:rPr>
        <w:t>Response:</w:t>
      </w:r>
      <w:r>
        <w:t xml:space="preserve"> We thank the reviewer for asking us to clarify this. We now specify that heat exposure is based on official Ministry of the Environment WBGT monitoring-site observations (Methods §4, lines 136–139), replacing the prior unclear phrasing.</w:t>
      </w:r>
    </w:p>
    <w:p>
      <w:pPr>
        <w:pStyle w:val="Heading3"/>
      </w:pPr>
      <w:r>
        <w:t>R1-9 (anchor: "government meteorological stations")</w:t>
      </w:r>
    </w:p>
    <w:p>
      <w:pPr>
        <w:ind w:left="480"/>
      </w:pPr>
      <w:r>
        <w:rPr>
          <w:i/>
        </w:rPr>
        <w:t>"Is this the correction interpretation?" [sic]</w:t>
      </w:r>
    </w:p>
    <w:p>
      <w:r>
        <w:rPr>
          <w:b/>
        </w:rPr>
        <w:t>Response:</w:t>
      </w:r>
      <w:r>
        <w:t xml:space="preserve"> We thank the reviewer for flagging this unclear wording. We revised this sentence for clarity and to correctly attribute the data source (Ministry of the Environment WBGT network rather than JMA temperature stations, for the heat-exposure variable) (Methods §4, lines 136–139).</w:t>
      </w:r>
    </w:p>
    <w:p>
      <w:pPr>
        <w:pStyle w:val="Heading3"/>
      </w:pPr>
      <w:r>
        <w:t>R1-10 (anchor: "summer season (June–September 2023)")</w:t>
      </w:r>
    </w:p>
    <w:p>
      <w:pPr>
        <w:ind w:left="480"/>
      </w:pPr>
      <w:r>
        <w:rPr>
          <w:i/>
        </w:rPr>
        <w:t>"Was this summer a typical summer? Not hotter than normal or cooler than normal? How do you know that?"</w:t>
      </w:r>
    </w:p>
    <w:p>
      <w:r>
        <w:rPr>
          <w:b/>
        </w:rPr>
        <w:t>Response:</w:t>
      </w:r>
      <w:r>
        <w:t xml:space="preserve"> We thank the reviewer for this important point; we now state explicitly in the Limitations that 2023 was an atypically hot summer and that this limits generalizability (Methods §1, lines 101–104; Discussion Limitations, lines 329–331).</w:t>
      </w:r>
    </w:p>
    <w:p>
      <w:pPr>
        <w:pStyle w:val="Heading3"/>
      </w:pPr>
      <w:r>
        <w:t>R1-11 (anchor: heatwave-day definition sentence)</w:t>
      </w:r>
    </w:p>
    <w:p>
      <w:pPr>
        <w:ind w:left="480"/>
      </w:pPr>
      <w:r>
        <w:rPr>
          <w:i/>
        </w:rPr>
        <w:t>"Is this an appropriate definition of heatwave for Japan? Is this the Japan Met Agency definition? If not, why not use their definition?"</w:t>
      </w:r>
    </w:p>
    <w:p>
      <w:r>
        <w:rPr>
          <w:b/>
        </w:rPr>
        <w:t>Response:</w:t>
      </w:r>
      <w:r>
        <w:t xml:space="preserve"> 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142–146). The former "heatwave days" variable is retained only as a descriptive, non-adjustment statistic in Table 1 for comparison with the original submission, and we no longer use the term "heatwave days" for the primary analysis.</w:t>
      </w:r>
    </w:p>
    <w:p>
      <w:pPr>
        <w:pStyle w:val="Heading3"/>
      </w:pPr>
      <w:r>
        <w:t>R1-12 (anchor: "Patel et al. 2013; Liljegren et al. 2008")</w:t>
      </w:r>
    </w:p>
    <w:p>
      <w:pPr>
        <w:ind w:left="480"/>
      </w:pPr>
      <w:r>
        <w:rPr>
          <w:i/>
        </w:rPr>
        <w:t>"What are these references for?"</w:t>
      </w:r>
    </w:p>
    <w:p>
      <w:r>
        <w:rPr>
          <w:b/>
        </w:rPr>
        <w:t>Response:</w:t>
      </w:r>
      <w:r>
        <w:t xml:space="preserve"> We thank the reviewer for this question. These citations, which supported the original simplified WBGT approximation formula, have been removed along with that formula, since we now use official Ministry of the Environment WBGT data (Methods §4, lines 136–139).</w:t>
      </w:r>
    </w:p>
    <w:p>
      <w:pPr>
        <w:pStyle w:val="Heading3"/>
      </w:pPr>
      <w:r>
        <w:t>R1-13 (anchor: "rapid-change days" definition)</w:t>
      </w:r>
    </w:p>
    <w:p>
      <w:pPr>
        <w:ind w:left="480"/>
      </w:pPr>
      <w:r>
        <w:rPr>
          <w:i/>
        </w:rPr>
        <w:t>"Is there a reference for this choice of variable?"</w:t>
      </w:r>
    </w:p>
    <w:p>
      <w:r>
        <w:rPr>
          <w:b/>
        </w:rPr>
        <w:t>Response:</w:t>
      </w:r>
      <w:r>
        <w:t xml:space="preserve"> We thank the reviewer for this question. The "rapid-change days" variable has been removed from the primary analysis in this revision; our climate variables are now limited to the WBGT threshold and cumulative-excess metrics used in the revised analysis, described in Methods §4 (lines 135–146).</w:t>
      </w:r>
    </w:p>
    <w:p>
      <w:pPr>
        <w:pStyle w:val="Heading3"/>
      </w:pPr>
      <w:r>
        <w:t>R1-14 (anchor: air-conditioning prevalence sentence)</w:t>
      </w:r>
    </w:p>
    <w:p>
      <w:pPr>
        <w:ind w:left="480"/>
      </w:pPr>
      <w:r>
        <w:rPr>
          <w:i/>
        </w:rPr>
        <w:t>"Was this also at prefecture level?"</w:t>
      </w:r>
    </w:p>
    <w:p>
      <w:r>
        <w:rPr>
          <w:b/>
        </w:rPr>
        <w:t>Response:</w:t>
      </w:r>
      <w:r>
        <w:t xml:space="preserve"> 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p>
      <w:pPr>
        <w:pStyle w:val="Heading3"/>
      </w:pPr>
      <w:r>
        <w:t>R1-15 (anchor: "Aging rate")</w:t>
      </w:r>
    </w:p>
    <w:p>
      <w:pPr>
        <w:ind w:left="480"/>
      </w:pPr>
      <w:r>
        <w:rPr>
          <w:i/>
        </w:rPr>
        <w:t>"Do you mean 'Age'?"</w:t>
      </w:r>
    </w:p>
    <w:p>
      <w:r>
        <w:rPr>
          <w:b/>
        </w:rPr>
        <w:t>Response:</w:t>
      </w:r>
      <w:r>
        <w:t xml:space="preserve"> 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151–153).</w:t>
      </w:r>
    </w:p>
    <w:p>
      <w:pPr>
        <w:pStyle w:val="Heading3"/>
      </w:pPr>
      <w:r>
        <w:t>R1-16 (anchor: "simple linear regression with infusion therapy utilization as the outcome")</w:t>
      </w:r>
    </w:p>
    <w:p>
      <w:pPr>
        <w:ind w:left="480"/>
      </w:pPr>
      <w:r>
        <w:rPr>
          <w:i/>
        </w:rP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p>
      <w:r>
        <w:rPr>
          <w:b/>
        </w:rPr>
        <w:t>Response:</w:t>
      </w:r>
      <w:r>
        <w:t xml:space="preserve"> 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357–360).</w:t>
      </w:r>
    </w:p>
    <w:p>
      <w:pPr>
        <w:pStyle w:val="Heading3"/>
      </w:pPr>
      <w:r>
        <w:t>R1-17 (anchor: "This approach estimated policy-interpretable population-level associations rather than a predictive multivariable model.")</w:t>
      </w:r>
    </w:p>
    <w:p>
      <w:pPr>
        <w:ind w:left="480"/>
      </w:pPr>
      <w:r>
        <w:rPr>
          <w:i/>
        </w:rPr>
        <w:t>"Why is the former more useful than the latter?"</w:t>
      </w:r>
    </w:p>
    <w:p>
      <w:r>
        <w:rPr>
          <w:b/>
        </w:rPr>
        <w:t>Response:</w:t>
      </w:r>
      <w:r>
        <w:t xml:space="preserve"> 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p>
      <w:pPr>
        <w:pStyle w:val="Heading3"/>
      </w:pPr>
      <w:r>
        <w:t>R1-18 (anchor: "4/N (N = 47 = 0.085)")</w:t>
      </w:r>
    </w:p>
    <w:p>
      <w:pPr>
        <w:ind w:left="480"/>
      </w:pPr>
      <w:r>
        <w:rPr>
          <w:i/>
        </w:rPr>
        <w:t>"Please explain what is N and what these numbers mean, and how can 47 equal 0.085?"</w:t>
      </w:r>
    </w:p>
    <w:p>
      <w:r>
        <w:rPr>
          <w:b/>
        </w:rPr>
        <w:t>Response:</w:t>
      </w:r>
      <w:r>
        <w:t xml:space="preserve"> 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p>
      <w:pPr>
        <w:pStyle w:val="Heading3"/>
      </w:pPr>
      <w:r>
        <w:t>R1-19 (anchor: "adjusted")</w:t>
      </w:r>
    </w:p>
    <w:p>
      <w:pPr>
        <w:ind w:left="480"/>
      </w:pPr>
      <w:r>
        <w:rPr>
          <w:i/>
        </w:rPr>
        <w:t>"What were the models adjusted for please?"</w:t>
      </w:r>
    </w:p>
    <w:p>
      <w:r>
        <w:rPr>
          <w:b/>
        </w:rPr>
        <w:t>Response:</w:t>
      </w:r>
      <w:r>
        <w:t xml:space="preserve"> We thank the reviewer for this question. This is now stated explicitly and cumulatively for every model: O-A (exposure alone), O-B (+ ageing rate), O-C (+ ageing rate + hospital beds), O-D (+ ageing rate + hospital beds + WBGT ≥28°C days) (Methods §6, lines 162–165; Table 2).</w:t>
      </w:r>
    </w:p>
    <w:p>
      <w:pPr>
        <w:pStyle w:val="Heading3"/>
      </w:pPr>
      <w:r>
        <w:t>R1-20 (anchor: "12.6 ±")</w:t>
      </w:r>
    </w:p>
    <w:p>
      <w:pPr>
        <w:ind w:left="480"/>
      </w:pPr>
      <w:r>
        <w:rPr>
          <w:i/>
        </w:rPr>
        <w:t>"Does this mean 12.6 per 100 000? Please be specific to ensure this is a rate and not just a number."</w:t>
      </w:r>
    </w:p>
    <w:p>
      <w:r>
        <w:rPr>
          <w:b/>
        </w:rPr>
        <w:t>Response:</w:t>
      </w:r>
      <w:r>
        <w:t xml:space="preserve"> We thank the reviewer for catching this ambiguity. Table 1 now specifies units for every variable explicitly (e.g., "%" for the exposure, "per 100,000" for the outcome) (Table 1).</w:t>
      </w:r>
    </w:p>
    <w:p>
      <w:pPr>
        <w:pStyle w:val="Heading3"/>
      </w:pPr>
      <w:r>
        <w:t>R1-21 (anchor: "17.9")</w:t>
      </w:r>
    </w:p>
    <w:p>
      <w:pPr>
        <w:ind w:left="480"/>
      </w:pPr>
      <w:r>
        <w:rPr>
          <w:i/>
        </w:rPr>
        <w:t>"17 days in how many days?"</w:t>
      </w:r>
    </w:p>
    <w:p>
      <w:r>
        <w:rPr>
          <w:b/>
        </w:rPr>
        <w:t>Response:</w:t>
      </w:r>
      <w:r>
        <w:t xml:space="preserve"> 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p>
      <w:pPr>
        <w:pStyle w:val="Heading3"/>
      </w:pPr>
      <w:r>
        <w:t>R1-22 (anchor: "23.2")</w:t>
      </w:r>
    </w:p>
    <w:p>
      <w:pPr>
        <w:ind w:left="480"/>
      </w:pPr>
      <w:r>
        <w:rPr>
          <w:i/>
        </w:rPr>
        <w:t>"This is very cool."</w:t>
      </w:r>
    </w:p>
    <w:p>
      <w:r>
        <w:rPr>
          <w:b/>
        </w:rPr>
        <w:t>Response:</w:t>
      </w:r>
      <w:r>
        <w:t xml:space="preserve"> 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p>
      <w:pPr>
        <w:pStyle w:val="Heading3"/>
      </w:pPr>
      <w:r>
        <w:t>R1-23 (anchor: "89.7")</w:t>
      </w:r>
    </w:p>
    <w:p>
      <w:pPr>
        <w:ind w:left="480"/>
      </w:pPr>
      <w:r>
        <w:rPr>
          <w:i/>
        </w:rPr>
        <w:t>"This is a very high AC use."</w:t>
      </w:r>
    </w:p>
    <w:p>
      <w:r>
        <w:rPr>
          <w:b/>
        </w:rPr>
        <w:t>Response:</w:t>
      </w:r>
      <w:r>
        <w:t xml:space="preserve"> We thank the reviewer for this observation. Air-conditioning prevalence (2014 survey, background variable only, not part of the primary adjusted models) is discussed in the Limitations with the caveat that ownership does not establish use (Discussion, lines 349–354).</w:t>
      </w:r>
    </w:p>
    <w:p>
      <w:pPr>
        <w:pStyle w:val="Heading3"/>
      </w:pPr>
      <w:r>
        <w:t>R1-24 (anchor: "Heat-health surveillance has traditionally focused on where heat occurs…")</w:t>
      </w:r>
    </w:p>
    <w:p>
      <w:pPr>
        <w:ind w:left="480"/>
      </w:pPr>
      <w:r>
        <w:rPr>
          <w:i/>
        </w:rPr>
        <w:t>"I concur with this finding, as do many heat physiologists."</w:t>
      </w:r>
    </w:p>
    <w:p>
      <w:r>
        <w:rPr>
          <w:b/>
        </w:rPr>
        <w:t>Response:</w:t>
      </w:r>
      <w:r>
        <w:t xml:space="preserve"> 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p>
      <w:pPr>
        <w:pStyle w:val="Heading3"/>
      </w:pPr>
      <w:r>
        <w:t>R1-25 (anchor: "elderly solo household rate was robustly associated with infusion therapy utilization")</w:t>
      </w:r>
    </w:p>
    <w:p>
      <w:pPr>
        <w:ind w:left="480"/>
      </w:pPr>
      <w:r>
        <w:rPr>
          <w:i/>
        </w:rP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p>
      <w:r>
        <w:rPr>
          <w:b/>
        </w:rPr>
        <w:t>Response:</w:t>
      </w:r>
      <w:r>
        <w:t xml:space="preserve"> 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p>
      <w:pPr>
        <w:pStyle w:val="Heading3"/>
      </w:pPr>
      <w:r>
        <w:t>R1-26 (anchor: "use air conditioning")</w:t>
      </w:r>
    </w:p>
    <w:p>
      <w:pPr>
        <w:ind w:left="480"/>
      </w:pPr>
      <w:r>
        <w:rPr>
          <w:i/>
        </w:rPr>
        <w:t>"So do they have AC but not turn it on?"</w:t>
      </w:r>
    </w:p>
    <w:p>
      <w:r>
        <w:rPr>
          <w:b/>
        </w:rPr>
        <w:t>Response:</w:t>
      </w:r>
      <w:r>
        <w:t xml:space="preserve"> We thank the reviewer for this astute observation. We cannot distinguish ownership from use with these data; this is now stated explicitly as the final limitation in the Discussion (lines 349–354).</w:t>
      </w:r>
    </w:p>
    <w:p>
      <w:pPr>
        <w:pStyle w:val="Heading3"/>
      </w:pPr>
      <w:r>
        <w:t>R1-27 (anchor: "outreach and resource allocation")</w:t>
      </w:r>
    </w:p>
    <w:p>
      <w:pPr>
        <w:ind w:left="480"/>
      </w:pPr>
      <w:r>
        <w:rPr>
          <w:i/>
        </w:rPr>
        <w:t>"Is this by identifying which of the prefectures house the most number of socially isolated individuals?"</w:t>
      </w:r>
    </w:p>
    <w:p>
      <w:r>
        <w:rPr>
          <w:b/>
        </w:rPr>
        <w:t>Response:</w:t>
      </w:r>
      <w:r>
        <w:t xml:space="preserve"> We thank the reviewer for this important point. The original policy recommendation to prioritize outreach based on this indicator has been removed from the Conclusions, since the underlying association was not robust to adjustment (Conclusions, lines 363–380).</w:t>
      </w:r>
    </w:p>
    <w:p>
      <w:pPr>
        <w:pStyle w:val="Heading3"/>
      </w:pPr>
      <w:r>
        <w:t>R1-28 (anchor: "Infusion therapy is not heat-specific")</w:t>
      </w:r>
    </w:p>
    <w:p>
      <w:pPr>
        <w:ind w:left="480"/>
      </w:pPr>
      <w:r>
        <w:rPr>
          <w:i/>
        </w:rPr>
        <w:t>"Besides dehydration from heat exposure, what are the other reasons or medical conditions for infusion therapy? These should be discussed."</w:t>
      </w:r>
    </w:p>
    <w:p>
      <w:r>
        <w:rPr>
          <w:b/>
        </w:rPr>
        <w:t>Response:</w:t>
      </w:r>
      <w:r>
        <w:t xml:space="preserve"> 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p>
      <w:pPr>
        <w:pStyle w:val="Heading3"/>
      </w:pPr>
      <w:r>
        <w:t>R1-29 (anchor: "cooling support")</w:t>
      </w:r>
    </w:p>
    <w:p>
      <w:pPr>
        <w:ind w:left="480"/>
      </w:pPr>
      <w:r>
        <w:rPr>
          <w:i/>
        </w:rPr>
        <w:t>"Do you mean turn on AC? Can socially isolated people afford to use AC?"</w:t>
      </w:r>
    </w:p>
    <w:p>
      <w:r>
        <w:rPr>
          <w:b/>
        </w:rPr>
        <w:t>Response:</w:t>
      </w:r>
      <w:r>
        <w:t xml:space="preserve"> We thank the reviewer for this thoughtful point. We have removed the specific policy recommendation referencing "cooling support" as a prescribed action, given that the underlying association is no longer supported after adjustment (Conclusions, lines 363–380).</w:t>
      </w:r>
    </w:p>
    <w:p>
      <w:pPr>
        <w:pStyle w:val="Heading3"/>
      </w:pPr>
      <w:r>
        <w:t>R1-30 (anchor: "causes")</w:t>
      </w:r>
    </w:p>
    <w:p>
      <w:pPr>
        <w:ind w:left="480"/>
      </w:pPr>
      <w:r>
        <w:rPr>
          <w:i/>
        </w:rPr>
        <w:t>"Such as, please give examples."</w:t>
      </w:r>
    </w:p>
    <w:p>
      <w:r>
        <w:rPr>
          <w:b/>
        </w:rPr>
        <w:t>Response:</w:t>
      </w:r>
      <w:r>
        <w:t xml:space="preserve"> We thank the reviewer for this request; it is addressed via the expanded discussion of non-heat-related indications for G004 infusion therapy (see R1-28 response above).</w:t>
      </w:r>
    </w:p>
    <w:p>
      <w:pPr>
        <w:pStyle w:val="Heading3"/>
      </w:pPr>
      <w:r>
        <w:t>R1-31 (anchor: "Sixth, unmeasured confounding by socioeconomic status, healthcare access, chronic disease, medication use, housing, and urban heat islands may remain.")</w:t>
      </w:r>
    </w:p>
    <w:p>
      <w:pPr>
        <w:ind w:left="480"/>
      </w:pPr>
      <w:r>
        <w:rPr>
          <w:i/>
        </w:rPr>
        <w:t>"Were none of these data available at prefecture level? That is a real pity as they would have enhanced the realities of the situation."</w:t>
      </w:r>
    </w:p>
    <w:p>
      <w:r>
        <w:rPr>
          <w:b/>
        </w:rPr>
        <w:t>Response:</w:t>
      </w:r>
      <w:r>
        <w:t xml:space="preserve"> 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p>
      <w:pPr>
        <w:pStyle w:val="Heading3"/>
      </w:pPr>
      <w:r>
        <w:t>R1-32 (anchor: "References")</w:t>
      </w:r>
    </w:p>
    <w:p>
      <w:pPr>
        <w:ind w:left="480"/>
      </w:pPr>
      <w:r>
        <w:rPr>
          <w:i/>
        </w:rPr>
        <w:t>"References should be checked for correct DOIs."</w:t>
      </w:r>
    </w:p>
    <w:p>
      <w:r>
        <w:rPr>
          <w:b/>
        </w:rPr>
        <w:t>Response:</w:t>
      </w:r>
      <w:r>
        <w:t xml:space="preserve"> 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p>
      <w:pPr>
        <w:pStyle w:val="Heading3"/>
      </w:pPr>
      <w:r>
        <w:t>R1-33 (anchor: Miyatake DOI)</w:t>
      </w:r>
    </w:p>
    <w:p>
      <w:pPr>
        <w:ind w:left="480"/>
      </w:pPr>
      <w:r>
        <w:rPr>
          <w:i/>
        </w:rPr>
        <w:t>"Wrong DOI… doi: 10.1007/s12199-011-0221-2."</w:t>
      </w:r>
    </w:p>
    <w:p>
      <w:r>
        <w:rPr>
          <w:b/>
        </w:rPr>
        <w:t>Response:</w:t>
      </w:r>
      <w:r>
        <w:t xml:space="preserve"> We thank the reviewer for identifying this error. Corrected exactly as specified; the reference list now reads doi:10.1007/s12199-011-0221-2 (References, line 491).</w:t>
      </w:r>
    </w:p>
    <w:p>
      <w:pPr>
        <w:pStyle w:val="Heading3"/>
      </w:pPr>
      <w:r>
        <w:t>R1-34 (anchor: "Table")</w:t>
      </w:r>
    </w:p>
    <w:p>
      <w:pPr>
        <w:ind w:left="480"/>
      </w:pPr>
      <w:r>
        <w:rPr>
          <w:i/>
        </w:rPr>
        <w:t>"These is no need for three decimal places in this type of study." [sic]</w:t>
      </w:r>
    </w:p>
    <w:p>
      <w:r>
        <w:rPr>
          <w:b/>
        </w:rPr>
        <w:t>Response:</w:t>
      </w:r>
      <w:r>
        <w:t xml:space="preserve"> 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p>
      <w:pPr>
        <w:pStyle w:val="Heading3"/>
      </w:pPr>
      <w:r>
        <w:t>R1-35 (anchor: figure R² comment)</w:t>
      </w:r>
    </w:p>
    <w:p>
      <w:pPr>
        <w:ind w:left="480"/>
      </w:pPr>
      <w:r>
        <w:rPr>
          <w:i/>
        </w:rPr>
        <w:t>"The R-square value for both of these figures is very low, i.e., very weak regression results as indicated by little pattern shown by the dots. Not sure of the value of these relationships."</w:t>
      </w:r>
    </w:p>
    <w:p>
      <w:r>
        <w:rPr>
          <w:b/>
        </w:rPr>
        <w:t>Response:</w:t>
      </w:r>
      <w:r>
        <w:t xml:space="preserve"> 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p>
      <w:pPr>
        <w:pBdr>
          <w:bottom w:val="single" w:sz="6" w:space="1" w:color="999999"/>
        </w:pBdr>
      </w:pPr>
    </w:p>
    <w:p>
      <w:pPr>
        <w:pStyle w:val="Heading2"/>
      </w:pPr>
      <w:r>
        <w:t>Response to Reviewer 2</w:t>
      </w:r>
    </w:p>
    <w:p>
      <w:r>
        <w:t>Reviewer 2's overall comment: "This is an important and timely study… However, the central interpretation needs further support, and I recommend major revision."</w:t>
      </w:r>
    </w:p>
    <w:p>
      <w:r>
        <w:rPr>
          <w:b/>
        </w:rPr>
        <w:t>Response:</w:t>
      </w:r>
      <w:r>
        <w:t xml:space="preserve"> We thank Reviewer 2 sincerely for this careful, constructive, and incisive assessment. We agree with this assessment and address each numbered point below.</w:t>
      </w:r>
    </w:p>
    <w:p>
      <w:pPr>
        <w:pStyle w:val="Heading3"/>
      </w:pPr>
      <w:r>
        <w:t>R2 Comment 1</w:t>
      </w:r>
    </w:p>
    <w:p>
      <w:pPr>
        <w:ind w:left="480"/>
      </w:pPr>
      <w:r>
        <w:rPr>
          <w:i/>
        </w:rP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p>
      <w:r>
        <w:rPr>
          <w:b/>
        </w:rPr>
        <w:t>Response:</w:t>
      </w:r>
      <w:r>
        <w:t xml:space="preserve"> 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p>
      <w:pPr>
        <w:pStyle w:val="Heading3"/>
      </w:pPr>
      <w:r>
        <w:t>R2 Comment 2</w:t>
      </w:r>
    </w:p>
    <w:p>
      <w:pPr>
        <w:ind w:left="480"/>
      </w:pPr>
      <w:r>
        <w:rPr>
          <w:i/>
        </w:rPr>
        <w:t>"Healthcare supply and regional treatment practices may also explain part of the association… Please add a measure such as hospital beds or clinics per capita."</w:t>
      </w:r>
    </w:p>
    <w:p>
      <w:r>
        <w:rPr>
          <w:b/>
        </w:rPr>
        <w:t>Response:</w:t>
      </w:r>
      <w:r>
        <w:t xml:space="preserve"> 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p>
      <w:pPr>
        <w:pStyle w:val="Heading3"/>
      </w:pPr>
      <w:r>
        <w:t>R2 Comment 3</w:t>
      </w:r>
    </w:p>
    <w:p>
      <w:pPr>
        <w:ind w:left="480"/>
      </w:pPr>
      <w:r>
        <w:rPr>
          <w:i/>
        </w:rPr>
        <w:t>"The stratified analysis needs fuller interpretation… Please test for nonlinearity, examine the influence of metropolitan prefectures, and discuss whether the result may reflect confounding."</w:t>
      </w:r>
    </w:p>
    <w:p>
      <w:r>
        <w:rPr>
          <w:b/>
        </w:rPr>
        <w:t>Response:</w:t>
      </w:r>
      <w:r>
        <w:t xml:space="preserve"> 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p>
      <w:pPr>
        <w:pStyle w:val="Heading3"/>
      </w:pPr>
      <w:r>
        <w:t>R2 Comment 4</w:t>
      </w:r>
    </w:p>
    <w:p>
      <w:pPr>
        <w:ind w:left="480"/>
      </w:pPr>
      <w:r>
        <w:rPr>
          <w:i/>
        </w:rP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p>
      <w:r>
        <w:rPr>
          <w:b/>
        </w:rPr>
        <w:t>Response:</w:t>
      </w:r>
      <w:r>
        <w:t xml:space="preserve"> 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137–142). We used days with WBGT ≥28°C as the primary heat metric used in the revised analysis, with days ≥31°C, days ≥33°C, and cumulative WBGT excess as sensitivity/exploratory measures with Benjamini-Hochberg FDR correction (Methods §4, lines 142–145; Methods §6, lines 177–179). We have also removed the comparative claim that social factors outperform climatic indicators; the revised Discussion instead reports a restrained, FDR-qualified exploratory WBGT finding (Discussion, lines 298–301).</w:t>
      </w:r>
    </w:p>
    <w:p>
      <w:pPr>
        <w:pStyle w:val="Heading3"/>
      </w:pPr>
      <w:r>
        <w:t>R2 Comment 5</w:t>
      </w:r>
    </w:p>
    <w:p>
      <w:pPr>
        <w:ind w:left="480"/>
      </w:pPr>
      <w:r>
        <w:rPr>
          <w:i/>
        </w:rPr>
        <w:t>"The claimed sixfold difference from the negative control is not valid because the raw coefficients concern outcomes measured on different scales… Please remove the sixfold claim, report standardised comparisons, and reconsider the interpretation of this analysis."</w:t>
      </w:r>
    </w:p>
    <w:p>
      <w:r>
        <w:rPr>
          <w:b/>
        </w:rPr>
        <w:t>Response:</w:t>
      </w:r>
      <w:r>
        <w:t xml:space="preserve"> 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p>
      <w:pPr>
        <w:pStyle w:val="Heading3"/>
      </w:pPr>
      <w:r>
        <w:t>R2 Comment 6</w:t>
      </w:r>
    </w:p>
    <w:p>
      <w:pPr>
        <w:ind w:left="480"/>
      </w:pPr>
      <w:r>
        <w:rPr>
          <w:i/>
        </w:rP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p>
      <w:r>
        <w:rPr>
          <w:b/>
        </w:rPr>
        <w:t>Response:</w:t>
      </w:r>
      <w:r>
        <w:t xml:space="preserve"> 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343–348: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394–397); the prior URL redirects automatically to the new one. We also now explicitly frame the study as hypothesis-generating in the Discussion and Conclusions, given the ecological, cross-sectional, and single-year design (Discussion, lines 355–356). We thank the reviewer once more for the depth and rigor of this review, which has substantially improved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