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Resource 1 (Revised)</w:t>
      </w:r>
    </w:p>
    <w:p>
      <w:r>
        <w:t>Supplementary material for: "Prefecture-Level Older-Adult Solo Household Rate and Large-Volume Infusion Therapy Utilization in Japan: An Ecological Study"</w:t>
      </w:r>
    </w:p>
    <w:p>
      <w:r>
        <w:t>Machine-readable source data underlying every table and figure below, together with all analysis code, are provided in the openly available data and code repository cited in the main text's Data Availability statement.</w:t>
      </w:r>
    </w:p>
    <w:p>
      <w:pPr>
        <w:pStyle w:val="Heading2"/>
        <w:keepNext/>
      </w:pPr>
      <w:r>
        <w:t>Table S1. WBGT monitoring-site coverage per prefecture</w:t>
      </w:r>
    </w:p>
    <w:tbl>
      <w:tblPr>
        <w:tblStyle w:val="LightGrid-Accent1"/>
        <w:tblW w:type="auto" w:w="0"/>
        <w:tblLook w:firstColumn="1" w:firstRow="1" w:lastColumn="0" w:lastRow="0" w:noHBand="0" w:noVBand="1" w:val="04A0"/>
      </w:tblPr>
      <w:tblGrid>
        <w:gridCol w:w="4320"/>
        <w:gridCol w:w="4320"/>
      </w:tblGrid>
      <w:tr>
        <w:trPr>
          <w:tblHeader w:val="true"/>
          <w:cantSplit/>
        </w:trPr>
        <w:tc>
          <w:tcPr>
            <w:tcW w:type="dxa" w:w="4320"/>
          </w:tcPr>
          <w:p>
            <w:pPr>
              <w:keepNext/>
            </w:pPr>
            <w:r>
              <w:rPr>
                <w:b/>
              </w:rPr>
            </w:r>
            <w:r>
              <w:rPr>
                <w:b/>
              </w:rPr>
              <w:t>Statistic</w:t>
            </w:r>
          </w:p>
        </w:tc>
        <w:tc>
          <w:tcPr>
            <w:tcW w:type="dxa" w:w="4320"/>
          </w:tcPr>
          <w:p>
            <w:pPr>
              <w:keepNext/>
            </w:pPr>
            <w:r>
              <w:rPr>
                <w:b/>
              </w:rPr>
            </w:r>
            <w:r>
              <w:rPr>
                <w:b/>
              </w:rPr>
              <w:t>Value</w:t>
            </w:r>
          </w:p>
        </w:tc>
      </w:tr>
      <w:tr>
        <w:trPr>
          <w:cantSplit/>
        </w:trPr>
        <w:tc>
          <w:tcPr>
            <w:tcW w:type="dxa" w:w="4320"/>
          </w:tcPr>
          <w:p>
            <w:pPr>
              <w:keepNext/>
            </w:pPr>
            <w:r/>
            <w:r>
              <w:t>N (prefectures)</w:t>
            </w:r>
          </w:p>
        </w:tc>
        <w:tc>
          <w:tcPr>
            <w:tcW w:type="dxa" w:w="4320"/>
          </w:tcPr>
          <w:p>
            <w:pPr>
              <w:keepNext/>
            </w:pPr>
            <w:r/>
            <w:r>
              <w:t>47</w:t>
            </w:r>
          </w:p>
        </w:tc>
      </w:tr>
      <w:tr>
        <w:trPr>
          <w:cantSplit/>
        </w:trPr>
        <w:tc>
          <w:tcPr>
            <w:tcW w:type="dxa" w:w="4320"/>
          </w:tcPr>
          <w:p>
            <w:pPr>
              <w:keepNext/>
            </w:pPr>
            <w:r/>
            <w:r>
              <w:t>Mean sites per prefecture</w:t>
            </w:r>
          </w:p>
        </w:tc>
        <w:tc>
          <w:tcPr>
            <w:tcW w:type="dxa" w:w="4320"/>
          </w:tcPr>
          <w:p>
            <w:pPr>
              <w:keepNext/>
            </w:pPr>
            <w:r/>
            <w:r>
              <w:t>17.9</w:t>
            </w:r>
          </w:p>
        </w:tc>
      </w:tr>
      <w:tr>
        <w:trPr>
          <w:cantSplit/>
        </w:trPr>
        <w:tc>
          <w:tcPr>
            <w:tcW w:type="dxa" w:w="4320"/>
          </w:tcPr>
          <w:p>
            <w:pPr>
              <w:keepNext/>
            </w:pPr>
            <w:r/>
            <w:r>
              <w:t>SD</w:t>
            </w:r>
          </w:p>
        </w:tc>
        <w:tc>
          <w:tcPr>
            <w:tcW w:type="dxa" w:w="4320"/>
          </w:tcPr>
          <w:p>
            <w:pPr>
              <w:keepNext/>
            </w:pPr>
            <w:r/>
            <w:r>
              <w:t>22.7</w:t>
            </w:r>
          </w:p>
        </w:tc>
      </w:tr>
      <w:tr>
        <w:trPr>
          <w:cantSplit/>
        </w:trPr>
        <w:tc>
          <w:tcPr>
            <w:tcW w:type="dxa" w:w="4320"/>
          </w:tcPr>
          <w:p>
            <w:pPr>
              <w:keepNext/>
            </w:pPr>
            <w:r/>
            <w:r>
              <w:t>Median</w:t>
            </w:r>
          </w:p>
        </w:tc>
        <w:tc>
          <w:tcPr>
            <w:tcW w:type="dxa" w:w="4320"/>
          </w:tcPr>
          <w:p>
            <w:pPr>
              <w:keepNext/>
            </w:pPr>
            <w:r/>
            <w:r>
              <w:t>14.0</w:t>
            </w:r>
          </w:p>
        </w:tc>
      </w:tr>
      <w:tr>
        <w:trPr>
          <w:cantSplit/>
        </w:trPr>
        <w:tc>
          <w:tcPr>
            <w:tcW w:type="dxa" w:w="4320"/>
          </w:tcPr>
          <w:p>
            <w:pPr>
              <w:keepNext/>
            </w:pPr>
            <w:r/>
            <w:r>
              <w:t>Minimum</w:t>
            </w:r>
          </w:p>
        </w:tc>
        <w:tc>
          <w:tcPr>
            <w:tcW w:type="dxa" w:w="4320"/>
          </w:tcPr>
          <w:p>
            <w:pPr>
              <w:keepNext/>
            </w:pPr>
            <w:r/>
            <w:r>
              <w:t>5 (Kanagawa)</w:t>
            </w:r>
          </w:p>
        </w:tc>
      </w:tr>
      <w:tr>
        <w:trPr>
          <w:cantSplit/>
        </w:trPr>
        <w:tc>
          <w:tcPr>
            <w:tcW w:type="dxa" w:w="4320"/>
          </w:tcPr>
          <w:p>
            <w:r/>
            <w:r>
              <w:t>Maximum</w:t>
            </w:r>
          </w:p>
        </w:tc>
        <w:tc>
          <w:tcPr>
            <w:tcW w:type="dxa" w:w="4320"/>
          </w:tcPr>
          <w:p>
            <w:r/>
            <w:r>
              <w:t>163 (Hokkaido)</w:t>
            </w:r>
          </w:p>
        </w:tc>
      </w:tr>
    </w:tbl>
    <w:p/>
    <w:p>
      <w:r>
        <w:t>Official Ministry of the Environment WBGT observations were aggregated from all available monitoring sites per prefecture. Hokkaido's outlying site count reflects its large land area and is discussed as a limitation in the main text (prefecture-level climate averaging).</w:t>
      </w:r>
    </w:p>
    <w:p>
      <w:pPr>
        <w:pStyle w:val="Heading2"/>
        <w:keepNext/>
      </w:pPr>
      <w:r>
        <w:t>Table S2. G004 public-data availability audit summary</w:t>
      </w:r>
    </w:p>
    <w:tbl>
      <w:tblPr>
        <w:tblStyle w:val="LightGrid-Accent1"/>
        <w:tblW w:type="auto" w:w="0"/>
        <w:tblLook w:firstColumn="1" w:firstRow="1" w:lastColumn="0" w:lastRow="0" w:noHBand="0" w:noVBand="1" w:val="04A0"/>
      </w:tblPr>
      <w:tblGrid>
        <w:gridCol w:w="2880"/>
        <w:gridCol w:w="2880"/>
        <w:gridCol w:w="2880"/>
      </w:tblGrid>
      <w:tr>
        <w:trPr>
          <w:tblHeader w:val="true"/>
          <w:cantSplit/>
        </w:trPr>
        <w:tc>
          <w:tcPr>
            <w:tcW w:type="dxa" w:w="2880"/>
          </w:tcPr>
          <w:p>
            <w:pPr>
              <w:keepNext/>
            </w:pPr>
            <w:r>
              <w:rPr>
                <w:b/>
              </w:rPr>
            </w:r>
            <w:r>
              <w:rPr>
                <w:b/>
              </w:rPr>
              <w:t>Table type (10th NDB Open Data)</w:t>
            </w:r>
          </w:p>
        </w:tc>
        <w:tc>
          <w:tcPr>
            <w:tcW w:type="dxa" w:w="2880"/>
          </w:tcPr>
          <w:p>
            <w:pPr>
              <w:keepNext/>
            </w:pPr>
            <w:r>
              <w:rPr>
                <w:b/>
              </w:rPr>
            </w:r>
            <w:r>
              <w:rPr>
                <w:b/>
              </w:rPr>
              <w:t>Stratification available</w:t>
            </w:r>
          </w:p>
        </w:tc>
        <w:tc>
          <w:tcPr>
            <w:tcW w:type="dxa" w:w="2880"/>
          </w:tcPr>
          <w:p>
            <w:pPr>
              <w:keepNext/>
            </w:pPr>
            <w:r>
              <w:rPr>
                <w:b/>
              </w:rPr>
            </w:r>
            <w:r>
              <w:rPr>
                <w:b/>
              </w:rPr>
              <w:t>Cross-tabulated by prefecture × age?</w:t>
            </w:r>
          </w:p>
        </w:tc>
      </w:tr>
      <w:tr>
        <w:trPr>
          <w:cantSplit/>
        </w:trPr>
        <w:tc>
          <w:tcPr>
            <w:tcW w:type="dxa" w:w="2880"/>
          </w:tcPr>
          <w:p>
            <w:pPr>
              <w:keepNext/>
            </w:pPr>
            <w:r/>
            <w:r>
              <w:t>Sex/age marginal table</w:t>
            </w:r>
          </w:p>
        </w:tc>
        <w:tc>
          <w:tcPr>
            <w:tcW w:type="dxa" w:w="2880"/>
          </w:tcPr>
          <w:p>
            <w:pPr>
              <w:keepNext/>
            </w:pPr>
            <w:r/>
            <w:r>
              <w:t>National, by sex and age group</w:t>
            </w:r>
          </w:p>
        </w:tc>
        <w:tc>
          <w:tcPr>
            <w:tcW w:type="dxa" w:w="2880"/>
          </w:tcPr>
          <w:p>
            <w:pPr>
              <w:keepNext/>
            </w:pPr>
            <w:r/>
            <w:r>
              <w:t>No (no prefecture breakdown)</w:t>
            </w:r>
          </w:p>
        </w:tc>
      </w:tr>
      <w:tr>
        <w:trPr>
          <w:cantSplit/>
        </w:trPr>
        <w:tc>
          <w:tcPr>
            <w:tcW w:type="dxa" w:w="2880"/>
          </w:tcPr>
          <w:p>
            <w:pPr>
              <w:keepNext/>
            </w:pPr>
            <w:r/>
            <w:r>
              <w:t>Prefecture marginal table</w:t>
            </w:r>
          </w:p>
        </w:tc>
        <w:tc>
          <w:tcPr>
            <w:tcW w:type="dxa" w:w="2880"/>
          </w:tcPr>
          <w:p>
            <w:pPr>
              <w:keepNext/>
            </w:pPr>
            <w:r/>
            <w:r>
              <w:t>By prefecture (all ages combined)</w:t>
            </w:r>
          </w:p>
        </w:tc>
        <w:tc>
          <w:tcPr>
            <w:tcW w:type="dxa" w:w="2880"/>
          </w:tcPr>
          <w:p>
            <w:pPr>
              <w:keepNext/>
            </w:pPr>
            <w:r/>
            <w:r>
              <w:t>No (no age breakdown)</w:t>
            </w:r>
          </w:p>
        </w:tc>
      </w:tr>
      <w:tr>
        <w:trPr>
          <w:cantSplit/>
        </w:trPr>
        <w:tc>
          <w:tcPr>
            <w:tcW w:type="dxa" w:w="2880"/>
          </w:tcPr>
          <w:p>
            <w:pPr>
              <w:keepNext/>
            </w:pPr>
            <w:r/>
            <w:r>
              <w:t>Treatment-month marginal table</w:t>
            </w:r>
          </w:p>
        </w:tc>
        <w:tc>
          <w:tcPr>
            <w:tcW w:type="dxa" w:w="2880"/>
          </w:tcPr>
          <w:p>
            <w:pPr>
              <w:keepNext/>
            </w:pPr>
            <w:r/>
            <w:r>
              <w:t>By calendar month</w:t>
            </w:r>
          </w:p>
        </w:tc>
        <w:tc>
          <w:tcPr>
            <w:tcW w:type="dxa" w:w="2880"/>
          </w:tcPr>
          <w:p>
            <w:pPr>
              <w:keepNext/>
            </w:pPr>
            <w:r/>
            <w:r>
              <w:t>No (no prefecture or age breakdown)</w:t>
            </w:r>
          </w:p>
        </w:tc>
      </w:tr>
      <w:tr>
        <w:trPr>
          <w:cantSplit/>
        </w:trPr>
        <w:tc>
          <w:tcPr>
            <w:tcW w:type="dxa" w:w="2880"/>
          </w:tcPr>
          <w:p>
            <w:r/>
            <w:r>
              <w:t>Secondary-medical-area marginal table</w:t>
            </w:r>
          </w:p>
        </w:tc>
        <w:tc>
          <w:tcPr>
            <w:tcW w:type="dxa" w:w="2880"/>
          </w:tcPr>
          <w:p>
            <w:r/>
            <w:r>
              <w:t>By secondary medical area</w:t>
            </w:r>
          </w:p>
        </w:tc>
        <w:tc>
          <w:tcPr>
            <w:tcW w:type="dxa" w:w="2880"/>
          </w:tcPr>
          <w:p>
            <w:r/>
            <w:r>
              <w:t>No (no age breakdown)</w:t>
            </w:r>
          </w:p>
        </w:tc>
      </w:tr>
    </w:tbl>
    <w:p/>
    <w:p>
      <w:r>
        <w:t>Prefecture-by-age cross-tabulated G004 counts are not publicly available in the 10th NDB Open Data; only the separate marginal tables listed above exist. The complete file inventory and audit trail supporting this determination are provided in the accompanying repository.</w:t>
      </w:r>
    </w:p>
    <w:p>
      <w:pPr>
        <w:pStyle w:val="Heading2"/>
        <w:keepNext/>
      </w:pPr>
      <w:r>
        <w:t>Table S3. Sensitivity analysis using the 2020 Census population denominator</w:t>
      </w:r>
    </w:p>
    <w:tbl>
      <w:tblPr>
        <w:tblStyle w:val="LightGrid-Accent1"/>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pPr>
              <w:keepNext/>
            </w:pPr>
            <w:r>
              <w:rPr>
                <w:b/>
              </w:rPr>
            </w:r>
            <w:r>
              <w:rPr>
                <w:b/>
              </w:rPr>
              <w:t>Model</w:t>
            </w:r>
          </w:p>
        </w:tc>
        <w:tc>
          <w:tcPr>
            <w:tcW w:type="dxa" w:w="2160"/>
          </w:tcPr>
          <w:p>
            <w:pPr>
              <w:keepNext/>
            </w:pPr>
            <w:r>
              <w:rPr>
                <w:b/>
              </w:rPr>
            </w:r>
            <w:r>
              <w:rPr>
                <w:b/>
              </w:rPr>
              <w:t>Cumulative adjustment</w:t>
            </w:r>
          </w:p>
        </w:tc>
        <w:tc>
          <w:tcPr>
            <w:tcW w:type="dxa" w:w="2160"/>
          </w:tcPr>
          <w:p>
            <w:pPr>
              <w:keepNext/>
            </w:pPr>
            <w:r>
              <w:rPr>
                <w:b/>
              </w:rPr>
            </w:r>
            <w:r>
              <w:rPr>
                <w:b/>
              </w:rPr>
              <w:t>Unstd. beta (HC3 95% CI)</w:t>
            </w:r>
          </w:p>
        </w:tc>
        <w:tc>
          <w:tcPr>
            <w:tcW w:type="dxa" w:w="2160"/>
          </w:tcPr>
          <w:p>
            <w:pPr>
              <w:keepNext/>
            </w:pPr>
            <w:r>
              <w:rPr>
                <w:b/>
              </w:rPr>
            </w:r>
            <w:r>
              <w:rPr>
                <w:b/>
              </w:rPr>
              <w:t>p</w:t>
            </w:r>
          </w:p>
        </w:tc>
      </w:tr>
      <w:tr>
        <w:trPr>
          <w:cantSplit/>
        </w:trPr>
        <w:tc>
          <w:tcPr>
            <w:tcW w:type="dxa" w:w="2160"/>
          </w:tcPr>
          <w:p>
            <w:pPr>
              <w:keepNext/>
            </w:pPr>
            <w:r/>
            <w:r>
              <w:t>O-A</w:t>
            </w:r>
          </w:p>
        </w:tc>
        <w:tc>
          <w:tcPr>
            <w:tcW w:type="dxa" w:w="2160"/>
          </w:tcPr>
          <w:p>
            <w:pPr>
              <w:keepNext/>
            </w:pPr>
            <w:r/>
            <w:r>
              <w:t>Unadjusted</w:t>
            </w:r>
          </w:p>
        </w:tc>
        <w:tc>
          <w:tcPr>
            <w:tcW w:type="dxa" w:w="2160"/>
          </w:tcPr>
          <w:p>
            <w:pPr>
              <w:keepNext/>
            </w:pPr>
            <w:r/>
            <w:r>
              <w:t>723.4 (377.5, 1069.2)</w:t>
            </w:r>
          </w:p>
        </w:tc>
        <w:tc>
          <w:tcPr>
            <w:tcW w:type="dxa" w:w="2160"/>
          </w:tcPr>
          <w:p>
            <w:pPr>
              <w:keepNext/>
            </w:pPr>
            <w:r/>
            <w:r>
              <w:t>&lt;0.001</w:t>
            </w:r>
          </w:p>
        </w:tc>
      </w:tr>
      <w:tr>
        <w:trPr>
          <w:cantSplit/>
        </w:trPr>
        <w:tc>
          <w:tcPr>
            <w:tcW w:type="dxa" w:w="2160"/>
          </w:tcPr>
          <w:p>
            <w:pPr>
              <w:keepNext/>
            </w:pPr>
            <w:r/>
            <w:r>
              <w:t>O-B</w:t>
            </w:r>
          </w:p>
        </w:tc>
        <w:tc>
          <w:tcPr>
            <w:tcW w:type="dxa" w:w="2160"/>
          </w:tcPr>
          <w:p>
            <w:pPr>
              <w:keepNext/>
            </w:pPr>
            <w:r/>
            <w:r>
              <w:t>+ ageing rate</w:t>
            </w:r>
          </w:p>
        </w:tc>
        <w:tc>
          <w:tcPr>
            <w:tcW w:type="dxa" w:w="2160"/>
          </w:tcPr>
          <w:p>
            <w:pPr>
              <w:keepNext/>
            </w:pPr>
            <w:r/>
            <w:r>
              <w:t>310.2 (-87.0, 707.4)</w:t>
            </w:r>
          </w:p>
        </w:tc>
        <w:tc>
          <w:tcPr>
            <w:tcW w:type="dxa" w:w="2160"/>
          </w:tcPr>
          <w:p>
            <w:pPr>
              <w:keepNext/>
            </w:pPr>
            <w:r/>
            <w:r>
              <w:t>0.126</w:t>
            </w:r>
          </w:p>
        </w:tc>
      </w:tr>
      <w:tr>
        <w:trPr>
          <w:cantSplit/>
        </w:trPr>
        <w:tc>
          <w:tcPr>
            <w:tcW w:type="dxa" w:w="2160"/>
          </w:tcPr>
          <w:p>
            <w:pPr>
              <w:keepNext/>
            </w:pPr>
            <w:r/>
            <w:r>
              <w:t>O-C</w:t>
            </w:r>
          </w:p>
        </w:tc>
        <w:tc>
          <w:tcPr>
            <w:tcW w:type="dxa" w:w="2160"/>
          </w:tcPr>
          <w:p>
            <w:pPr>
              <w:keepNext/>
            </w:pPr>
            <w:r/>
            <w:r>
              <w:t>+ ageing rate + hospital beds</w:t>
            </w:r>
          </w:p>
        </w:tc>
        <w:tc>
          <w:tcPr>
            <w:tcW w:type="dxa" w:w="2160"/>
          </w:tcPr>
          <w:p>
            <w:pPr>
              <w:keepNext/>
            </w:pPr>
            <w:r/>
            <w:r>
              <w:t>76.5 (-340.2, 493.2)</w:t>
            </w:r>
          </w:p>
        </w:tc>
        <w:tc>
          <w:tcPr>
            <w:tcW w:type="dxa" w:w="2160"/>
          </w:tcPr>
          <w:p>
            <w:pPr>
              <w:keepNext/>
            </w:pPr>
            <w:r/>
            <w:r>
              <w:t>0.719</w:t>
            </w:r>
          </w:p>
        </w:tc>
      </w:tr>
      <w:tr>
        <w:trPr>
          <w:cantSplit/>
        </w:trPr>
        <w:tc>
          <w:tcPr>
            <w:tcW w:type="dxa" w:w="2160"/>
          </w:tcPr>
          <w:p>
            <w:r/>
            <w:r>
              <w:t>O-D</w:t>
            </w:r>
          </w:p>
        </w:tc>
        <w:tc>
          <w:tcPr>
            <w:tcW w:type="dxa" w:w="2160"/>
          </w:tcPr>
          <w:p>
            <w:r/>
            <w:r>
              <w:t>+ ageing rate + hospital beds + WBGT≥28d</w:t>
            </w:r>
          </w:p>
        </w:tc>
        <w:tc>
          <w:tcPr>
            <w:tcW w:type="dxa" w:w="2160"/>
          </w:tcPr>
          <w:p>
            <w:r/>
            <w:r>
              <w:t>-31.8 (-536.8, 473.3)</w:t>
            </w:r>
          </w:p>
        </w:tc>
        <w:tc>
          <w:tcPr>
            <w:tcW w:type="dxa" w:w="2160"/>
          </w:tcPr>
          <w:p>
            <w:r/>
            <w:r>
              <w:t>0.902</w:t>
            </w:r>
          </w:p>
        </w:tc>
      </w:tr>
    </w:tbl>
    <w:p/>
    <w:p>
      <w:r>
        <w:t>The O-A point estimate (723.4) is closely comparable to the primary (2023-denominator) Model O-A estimate; inferential statistics differ because this analysis uses HC3 robust standard errors. Descriptive attenuation O-A→O-B: 57.1%.</w:t>
      </w:r>
    </w:p>
    <w:p>
      <w:pPr>
        <w:pStyle w:val="Heading2"/>
        <w:keepNext/>
      </w:pPr>
      <w:r>
        <w:t>Table S4. Alternative-exposure (denominator)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pPr>
              <w:keepNext/>
            </w:pPr>
            <w:r>
              <w:rPr>
                <w:b/>
              </w:rPr>
            </w:r>
            <w:r>
              <w:rPr>
                <w:b/>
              </w:rPr>
              <w:t>Stage</w:t>
            </w:r>
          </w:p>
        </w:tc>
        <w:tc>
          <w:tcPr>
            <w:tcW w:type="dxa" w:w="1440"/>
          </w:tcPr>
          <w:p>
            <w:pPr>
              <w:keepNext/>
            </w:pPr>
            <w:r>
              <w:rPr>
                <w:b/>
              </w:rPr>
            </w:r>
            <w:r>
              <w:rPr>
                <w:b/>
              </w:rPr>
              <w:t>Estimand</w:t>
            </w:r>
          </w:p>
        </w:tc>
        <w:tc>
          <w:tcPr>
            <w:tcW w:type="dxa" w:w="1440"/>
          </w:tcPr>
          <w:p>
            <w:pPr>
              <w:keepNext/>
            </w:pPr>
            <w:r>
              <w:rPr>
                <w:b/>
              </w:rPr>
            </w:r>
            <w:r>
              <w:rPr>
                <w:b/>
              </w:rPr>
              <w:t>Unstd. beta (95% CI)</w:t>
            </w:r>
          </w:p>
        </w:tc>
        <w:tc>
          <w:tcPr>
            <w:tcW w:type="dxa" w:w="1440"/>
          </w:tcPr>
          <w:p>
            <w:pPr>
              <w:keepNext/>
            </w:pPr>
            <w:r>
              <w:rPr>
                <w:b/>
              </w:rPr>
            </w:r>
            <w:r>
              <w:rPr>
                <w:b/>
              </w:rPr>
              <w:t>p</w:t>
            </w:r>
          </w:p>
        </w:tc>
        <w:tc>
          <w:tcPr>
            <w:tcW w:type="dxa" w:w="1440"/>
          </w:tcPr>
          <w:p>
            <w:pPr>
              <w:keepNext/>
            </w:pPr>
            <w:r>
              <w:rPr>
                <w:b/>
              </w:rPr>
            </w:r>
            <w:r>
              <w:rPr>
                <w:b/>
              </w:rPr>
              <w:t>Std. beta (95% CI)</w:t>
            </w:r>
          </w:p>
        </w:tc>
        <w:tc>
          <w:tcPr>
            <w:tcW w:type="dxa" w:w="1440"/>
          </w:tcPr>
          <w:p>
            <w:pPr>
              <w:keepNext/>
            </w:pPr>
            <w:r>
              <w:rPr>
                <w:b/>
              </w:rPr>
            </w:r>
            <w:r>
              <w:rPr>
                <w:b/>
              </w:rPr>
              <w:t>Partial R²</w:t>
            </w:r>
          </w:p>
        </w:tc>
      </w:tr>
      <w:tr>
        <w:trPr>
          <w:cantSplit/>
        </w:trPr>
        <w:tc>
          <w:tcPr>
            <w:tcW w:type="dxa" w:w="1440"/>
          </w:tcPr>
          <w:p>
            <w:pPr>
              <w:keepNext/>
            </w:pPr>
            <w:r/>
            <w:r>
              <w:t>Unadjusted</w:t>
            </w:r>
          </w:p>
        </w:tc>
        <w:tc>
          <w:tcPr>
            <w:tcW w:type="dxa" w:w="1440"/>
          </w:tcPr>
          <w:p>
            <w:pPr>
              <w:keepNext/>
            </w:pPr>
            <w:r/>
            <w:r>
              <w:t>O — % of all households with older adult living alone</w:t>
            </w:r>
          </w:p>
        </w:tc>
        <w:tc>
          <w:tcPr>
            <w:tcW w:type="dxa" w:w="1440"/>
          </w:tcPr>
          <w:p>
            <w:pPr>
              <w:keepNext/>
            </w:pPr>
            <w:r/>
            <w:r>
              <w:t>656.2 (326.9, 985.6)</w:t>
            </w:r>
          </w:p>
        </w:tc>
        <w:tc>
          <w:tcPr>
            <w:tcW w:type="dxa" w:w="1440"/>
          </w:tcPr>
          <w:p>
            <w:pPr>
              <w:keepNext/>
            </w:pPr>
            <w:r/>
            <w:r>
              <w:t>&lt;0.001</w:t>
            </w:r>
          </w:p>
        </w:tc>
        <w:tc>
          <w:tcPr>
            <w:tcW w:type="dxa" w:w="1440"/>
          </w:tcPr>
          <w:p>
            <w:pPr>
              <w:keepNext/>
            </w:pPr>
            <w:r/>
            <w:r>
              <w:t>0.521 (0.260, 0.783)</w:t>
            </w:r>
          </w:p>
        </w:tc>
        <w:tc>
          <w:tcPr>
            <w:tcW w:type="dxa" w:w="1440"/>
          </w:tcPr>
          <w:p>
            <w:pPr>
              <w:keepNext/>
            </w:pPr>
            <w:r/>
            <w:r>
              <w:t>0.272</w:t>
            </w:r>
          </w:p>
        </w:tc>
      </w:tr>
      <w:tr>
        <w:trPr>
          <w:cantSplit/>
        </w:trPr>
        <w:tc>
          <w:tcPr>
            <w:tcW w:type="dxa" w:w="1440"/>
          </w:tcPr>
          <w:p>
            <w:pPr>
              <w:keepNext/>
            </w:pPr>
            <w:r/>
            <w:r>
              <w:t>Unadjusted</w:t>
            </w:r>
          </w:p>
        </w:tc>
        <w:tc>
          <w:tcPr>
            <w:tcW w:type="dxa" w:w="1440"/>
          </w:tcPr>
          <w:p>
            <w:pPr>
              <w:keepNext/>
            </w:pPr>
            <w:r/>
            <w:r>
              <w:t>N — % of 65+ population living alone</w:t>
            </w:r>
          </w:p>
        </w:tc>
        <w:tc>
          <w:tcPr>
            <w:tcW w:type="dxa" w:w="1440"/>
          </w:tcPr>
          <w:p>
            <w:pPr>
              <w:keepNext/>
            </w:pPr>
            <w:r/>
            <w:r>
              <w:t>0.3 (-249.8, 250.3)</w:t>
            </w:r>
          </w:p>
        </w:tc>
        <w:tc>
          <w:tcPr>
            <w:tcW w:type="dxa" w:w="1440"/>
          </w:tcPr>
          <w:p>
            <w:pPr>
              <w:keepNext/>
            </w:pPr>
            <w:r/>
            <w:r>
              <w:t>0.998</w:t>
            </w:r>
          </w:p>
        </w:tc>
        <w:tc>
          <w:tcPr>
            <w:tcW w:type="dxa" w:w="1440"/>
          </w:tcPr>
          <w:p>
            <w:pPr>
              <w:keepNext/>
            </w:pPr>
            <w:r/>
            <w:r>
              <w:t>0.0003 (-0.327, 0.328)</w:t>
            </w:r>
          </w:p>
        </w:tc>
        <w:tc>
          <w:tcPr>
            <w:tcW w:type="dxa" w:w="1440"/>
          </w:tcPr>
          <w:p>
            <w:pPr>
              <w:keepNext/>
            </w:pPr>
            <w:r/>
            <w:r>
              <w:t>~0</w:t>
            </w:r>
          </w:p>
        </w:tc>
      </w:tr>
      <w:tr>
        <w:trPr>
          <w:cantSplit/>
        </w:trPr>
        <w:tc>
          <w:tcPr>
            <w:tcW w:type="dxa" w:w="1440"/>
          </w:tcPr>
          <w:p>
            <w:pPr>
              <w:keepNext/>
            </w:pPr>
            <w:r/>
            <w:r>
              <w:t>Fully adjusted</w:t>
            </w:r>
          </w:p>
        </w:tc>
        <w:tc>
          <w:tcPr>
            <w:tcW w:type="dxa" w:w="1440"/>
          </w:tcPr>
          <w:p>
            <w:pPr>
              <w:keepNext/>
            </w:pPr>
            <w:r/>
            <w:r>
              <w:t>O (O-D)</w:t>
            </w:r>
          </w:p>
        </w:tc>
        <w:tc>
          <w:tcPr>
            <w:tcW w:type="dxa" w:w="1440"/>
          </w:tcPr>
          <w:p>
            <w:pPr>
              <w:keepNext/>
            </w:pPr>
            <w:r/>
            <w:r>
              <w:t>-9.4 (-493.9, 475.1)</w:t>
            </w:r>
          </w:p>
        </w:tc>
        <w:tc>
          <w:tcPr>
            <w:tcW w:type="dxa" w:w="1440"/>
          </w:tcPr>
          <w:p>
            <w:pPr>
              <w:keepNext/>
            </w:pPr>
            <w:r/>
            <w:r>
              <w:t>0.970</w:t>
            </w:r>
          </w:p>
        </w:tc>
        <w:tc>
          <w:tcPr>
            <w:tcW w:type="dxa" w:w="1440"/>
          </w:tcPr>
          <w:p>
            <w:pPr>
              <w:keepNext/>
            </w:pPr>
            <w:r/>
            <w:r>
              <w:t>-0.007 (-0.392, 0.377)</w:t>
            </w:r>
          </w:p>
        </w:tc>
        <w:tc>
          <w:tcPr>
            <w:tcW w:type="dxa" w:w="1440"/>
          </w:tcPr>
          <w:p>
            <w:pPr>
              <w:keepNext/>
            </w:pPr>
            <w:r/>
            <w:r>
              <w:t>~0</w:t>
            </w:r>
          </w:p>
        </w:tc>
      </w:tr>
      <w:tr>
        <w:trPr>
          <w:cantSplit/>
        </w:trPr>
        <w:tc>
          <w:tcPr>
            <w:tcW w:type="dxa" w:w="1440"/>
          </w:tcPr>
          <w:p>
            <w:r/>
            <w:r>
              <w:t>Fully adjusted</w:t>
            </w:r>
          </w:p>
        </w:tc>
        <w:tc>
          <w:tcPr>
            <w:tcW w:type="dxa" w:w="1440"/>
          </w:tcPr>
          <w:p>
            <w:r/>
            <w:r>
              <w:t>N (analogous full adjustment)</w:t>
            </w:r>
          </w:p>
        </w:tc>
        <w:tc>
          <w:tcPr>
            <w:tcW w:type="dxa" w:w="1440"/>
          </w:tcPr>
          <w:p>
            <w:r/>
            <w:r>
              <w:t>-25.7 (-227.9, 176.4)</w:t>
            </w:r>
          </w:p>
        </w:tc>
        <w:tc>
          <w:tcPr>
            <w:tcW w:type="dxa" w:w="1440"/>
          </w:tcPr>
          <w:p>
            <w:r/>
            <w:r>
              <w:t>0.803</w:t>
            </w:r>
          </w:p>
        </w:tc>
        <w:tc>
          <w:tcPr>
            <w:tcW w:type="dxa" w:w="1440"/>
          </w:tcPr>
          <w:p>
            <w:r/>
            <w:r>
              <w:t>-0.034 (-0.298, 0.231)</w:t>
            </w:r>
          </w:p>
        </w:tc>
        <w:tc>
          <w:tcPr>
            <w:tcW w:type="dxa" w:w="1440"/>
          </w:tcPr>
          <w:p>
            <w:r/>
            <w:r>
              <w:t>0.001</w:t>
            </w:r>
          </w:p>
        </w:tc>
      </w:tr>
    </w:tbl>
    <w:p/>
    <w:p>
      <w:pPr>
        <w:pStyle w:val="Heading2"/>
        <w:keepNext/>
      </w:pPr>
      <w:r>
        <w:t>Table S5. Sensitivity analyses (original exposure, O-D basis)</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pPr>
              <w:keepNext/>
            </w:pPr>
            <w:r>
              <w:rPr>
                <w:b/>
              </w:rPr>
            </w:r>
            <w:r>
              <w:rPr>
                <w:b/>
              </w:rPr>
              <w:t>Analysis</w:t>
            </w:r>
          </w:p>
        </w:tc>
        <w:tc>
          <w:tcPr>
            <w:tcW w:type="dxa" w:w="1728"/>
          </w:tcPr>
          <w:p>
            <w:pPr>
              <w:keepNext/>
            </w:pPr>
            <w:r>
              <w:rPr>
                <w:b/>
              </w:rPr>
            </w:r>
            <w:r>
              <w:rPr>
                <w:b/>
              </w:rPr>
              <w:t>N</w:t>
            </w:r>
          </w:p>
        </w:tc>
        <w:tc>
          <w:tcPr>
            <w:tcW w:type="dxa" w:w="1728"/>
          </w:tcPr>
          <w:p>
            <w:pPr>
              <w:keepNext/>
            </w:pPr>
            <w:r>
              <w:rPr>
                <w:b/>
              </w:rPr>
            </w:r>
            <w:r>
              <w:rPr>
                <w:b/>
              </w:rPr>
              <w:t>Exposure coefficient</w:t>
            </w:r>
          </w:p>
        </w:tc>
        <w:tc>
          <w:tcPr>
            <w:tcW w:type="dxa" w:w="1728"/>
          </w:tcPr>
          <w:p>
            <w:pPr>
              <w:keepNext/>
            </w:pPr>
            <w:r>
              <w:rPr>
                <w:b/>
              </w:rPr>
            </w:r>
            <w:r>
              <w:rPr>
                <w:b/>
              </w:rPr>
              <w:t>95% CI</w:t>
            </w:r>
          </w:p>
        </w:tc>
        <w:tc>
          <w:tcPr>
            <w:tcW w:type="dxa" w:w="1728"/>
          </w:tcPr>
          <w:p>
            <w:pPr>
              <w:keepNext/>
            </w:pPr>
            <w:r>
              <w:rPr>
                <w:b/>
              </w:rPr>
            </w:r>
            <w:r>
              <w:rPr>
                <w:b/>
              </w:rPr>
              <w:t>p</w:t>
            </w:r>
          </w:p>
        </w:tc>
      </w:tr>
      <w:tr>
        <w:trPr>
          <w:cantSplit/>
        </w:trPr>
        <w:tc>
          <w:tcPr>
            <w:tcW w:type="dxa" w:w="1728"/>
          </w:tcPr>
          <w:p>
            <w:pPr>
              <w:keepNext/>
            </w:pPr>
            <w:r/>
            <w:r>
              <w:t>O-D (reference)</w:t>
            </w:r>
          </w:p>
        </w:tc>
        <w:tc>
          <w:tcPr>
            <w:tcW w:type="dxa" w:w="1728"/>
          </w:tcPr>
          <w:p>
            <w:pPr>
              <w:keepNext/>
            </w:pPr>
            <w:r/>
            <w:r>
              <w:t>47</w:t>
            </w:r>
          </w:p>
        </w:tc>
        <w:tc>
          <w:tcPr>
            <w:tcW w:type="dxa" w:w="1728"/>
          </w:tcPr>
          <w:p>
            <w:pPr>
              <w:keepNext/>
            </w:pPr>
            <w:r/>
            <w:r>
              <w:t>-9.4</w:t>
            </w:r>
          </w:p>
        </w:tc>
        <w:tc>
          <w:tcPr>
            <w:tcW w:type="dxa" w:w="1728"/>
          </w:tcPr>
          <w:p>
            <w:pPr>
              <w:keepNext/>
            </w:pPr>
            <w:r/>
            <w:r>
              <w:t>(-493.9, 475.1)</w:t>
            </w:r>
          </w:p>
        </w:tc>
        <w:tc>
          <w:tcPr>
            <w:tcW w:type="dxa" w:w="1728"/>
          </w:tcPr>
          <w:p>
            <w:pPr>
              <w:keepNext/>
            </w:pPr>
            <w:r/>
            <w:r>
              <w:t>0.970</w:t>
            </w:r>
          </w:p>
        </w:tc>
      </w:tr>
      <w:tr>
        <w:trPr>
          <w:cantSplit/>
        </w:trPr>
        <w:tc>
          <w:tcPr>
            <w:tcW w:type="dxa" w:w="1728"/>
          </w:tcPr>
          <w:p>
            <w:pPr>
              <w:keepNext/>
            </w:pPr>
            <w:r/>
            <w:r>
              <w:t>Beds → clinics (O-C)</w:t>
            </w:r>
          </w:p>
        </w:tc>
        <w:tc>
          <w:tcPr>
            <w:tcW w:type="dxa" w:w="1728"/>
          </w:tcPr>
          <w:p>
            <w:pPr>
              <w:keepNext/>
            </w:pPr>
            <w:r/>
            <w:r>
              <w:t>47</w:t>
            </w:r>
          </w:p>
        </w:tc>
        <w:tc>
          <w:tcPr>
            <w:tcW w:type="dxa" w:w="1728"/>
          </w:tcPr>
          <w:p>
            <w:pPr>
              <w:keepNext/>
            </w:pPr>
            <w:r/>
            <w:r>
              <w:t>55.6</w:t>
            </w:r>
          </w:p>
        </w:tc>
        <w:tc>
          <w:tcPr>
            <w:tcW w:type="dxa" w:w="1728"/>
          </w:tcPr>
          <w:p>
            <w:pPr>
              <w:keepNext/>
            </w:pPr>
            <w:r/>
            <w:r>
              <w:t>(-304.9, 416.2)</w:t>
            </w:r>
          </w:p>
        </w:tc>
        <w:tc>
          <w:tcPr>
            <w:tcW w:type="dxa" w:w="1728"/>
          </w:tcPr>
          <w:p>
            <w:pPr>
              <w:keepNext/>
            </w:pPr>
            <w:r/>
            <w:r>
              <w:t>0.762</w:t>
            </w:r>
          </w:p>
        </w:tc>
      </w:tr>
      <w:tr>
        <w:trPr>
          <w:cantSplit/>
        </w:trPr>
        <w:tc>
          <w:tcPr>
            <w:tcW w:type="dxa" w:w="1728"/>
          </w:tcPr>
          <w:p>
            <w:pPr>
              <w:keepNext/>
            </w:pPr>
            <w:r/>
            <w:r>
              <w:t>Beds → clinics (O-D)</w:t>
            </w:r>
          </w:p>
        </w:tc>
        <w:tc>
          <w:tcPr>
            <w:tcW w:type="dxa" w:w="1728"/>
          </w:tcPr>
          <w:p>
            <w:pPr>
              <w:keepNext/>
            </w:pPr>
            <w:r/>
            <w:r>
              <w:t>47</w:t>
            </w:r>
          </w:p>
        </w:tc>
        <w:tc>
          <w:tcPr>
            <w:tcW w:type="dxa" w:w="1728"/>
          </w:tcPr>
          <w:p>
            <w:pPr>
              <w:keepNext/>
            </w:pPr>
            <w:r/>
            <w:r>
              <w:t>-35.6</w:t>
            </w:r>
          </w:p>
        </w:tc>
        <w:tc>
          <w:tcPr>
            <w:tcW w:type="dxa" w:w="1728"/>
          </w:tcPr>
          <w:p>
            <w:pPr>
              <w:keepNext/>
            </w:pPr>
            <w:r/>
            <w:r>
              <w:t>(-361.7, 290.6)</w:t>
            </w:r>
          </w:p>
        </w:tc>
        <w:tc>
          <w:tcPr>
            <w:tcW w:type="dxa" w:w="1728"/>
          </w:tcPr>
          <w:p>
            <w:pPr>
              <w:keepNext/>
            </w:pPr>
            <w:r/>
            <w:r>
              <w:t>0.831</w:t>
            </w:r>
          </w:p>
        </w:tc>
      </w:tr>
      <w:tr>
        <w:trPr>
          <w:cantSplit/>
        </w:trPr>
        <w:tc>
          <w:tcPr>
            <w:tcW w:type="dxa" w:w="1728"/>
          </w:tcPr>
          <w:p>
            <w:pPr>
              <w:keepNext/>
            </w:pPr>
            <w:r/>
            <w:r>
              <w:t>Exclude Tokyo, Osaka, Kanagawa</w:t>
            </w:r>
          </w:p>
        </w:tc>
        <w:tc>
          <w:tcPr>
            <w:tcW w:type="dxa" w:w="1728"/>
          </w:tcPr>
          <w:p>
            <w:pPr>
              <w:keepNext/>
            </w:pPr>
            <w:r/>
            <w:r>
              <w:t>44</w:t>
            </w:r>
          </w:p>
        </w:tc>
        <w:tc>
          <w:tcPr>
            <w:tcW w:type="dxa" w:w="1728"/>
          </w:tcPr>
          <w:p>
            <w:pPr>
              <w:keepNext/>
            </w:pPr>
            <w:r/>
            <w:r>
              <w:t>-42.0</w:t>
            </w:r>
          </w:p>
        </w:tc>
        <w:tc>
          <w:tcPr>
            <w:tcW w:type="dxa" w:w="1728"/>
          </w:tcPr>
          <w:p>
            <w:pPr>
              <w:keepNext/>
            </w:pPr>
            <w:r/>
            <w:r>
              <w:t>(-645.6, 561.6)</w:t>
            </w:r>
          </w:p>
        </w:tc>
        <w:tc>
          <w:tcPr>
            <w:tcW w:type="dxa" w:w="1728"/>
          </w:tcPr>
          <w:p>
            <w:pPr>
              <w:keepNext/>
            </w:pPr>
            <w:r/>
            <w:r>
              <w:t>0.891</w:t>
            </w:r>
          </w:p>
        </w:tc>
      </w:tr>
      <w:tr>
        <w:trPr>
          <w:cantSplit/>
        </w:trPr>
        <w:tc>
          <w:tcPr>
            <w:tcW w:type="dxa" w:w="1728"/>
          </w:tcPr>
          <w:p>
            <w:pPr>
              <w:keepNext/>
            </w:pPr>
            <w:r/>
            <w:r>
              <w:t>WBGT ≥31d substituted</w:t>
            </w:r>
          </w:p>
        </w:tc>
        <w:tc>
          <w:tcPr>
            <w:tcW w:type="dxa" w:w="1728"/>
          </w:tcPr>
          <w:p>
            <w:pPr>
              <w:keepNext/>
            </w:pPr>
            <w:r/>
            <w:r>
              <w:t>47</w:t>
            </w:r>
          </w:p>
        </w:tc>
        <w:tc>
          <w:tcPr>
            <w:tcW w:type="dxa" w:w="1728"/>
          </w:tcPr>
          <w:p>
            <w:pPr>
              <w:keepNext/>
            </w:pPr>
            <w:r/>
            <w:r>
              <w:t>96.2</w:t>
            </w:r>
          </w:p>
        </w:tc>
        <w:tc>
          <w:tcPr>
            <w:tcW w:type="dxa" w:w="1728"/>
          </w:tcPr>
          <w:p>
            <w:pPr>
              <w:keepNext/>
            </w:pPr>
            <w:r/>
            <w:r>
              <w:t>(-304.6, 497.1)</w:t>
            </w:r>
          </w:p>
        </w:tc>
        <w:tc>
          <w:tcPr>
            <w:tcW w:type="dxa" w:w="1728"/>
          </w:tcPr>
          <w:p>
            <w:pPr>
              <w:keepNext/>
            </w:pPr>
            <w:r/>
            <w:r>
              <w:t>0.638</w:t>
            </w:r>
          </w:p>
        </w:tc>
      </w:tr>
      <w:tr>
        <w:trPr>
          <w:cantSplit/>
        </w:trPr>
        <w:tc>
          <w:tcPr>
            <w:tcW w:type="dxa" w:w="1728"/>
          </w:tcPr>
          <w:p>
            <w:pPr>
              <w:keepNext/>
            </w:pPr>
            <w:r/>
            <w:r>
              <w:t>WBGT ≥33d substituted</w:t>
            </w:r>
          </w:p>
        </w:tc>
        <w:tc>
          <w:tcPr>
            <w:tcW w:type="dxa" w:w="1728"/>
          </w:tcPr>
          <w:p>
            <w:pPr>
              <w:keepNext/>
            </w:pPr>
            <w:r/>
            <w:r>
              <w:t>47</w:t>
            </w:r>
          </w:p>
        </w:tc>
        <w:tc>
          <w:tcPr>
            <w:tcW w:type="dxa" w:w="1728"/>
          </w:tcPr>
          <w:p>
            <w:pPr>
              <w:keepNext/>
            </w:pPr>
            <w:r/>
            <w:r>
              <w:t>-25.5</w:t>
            </w:r>
          </w:p>
        </w:tc>
        <w:tc>
          <w:tcPr>
            <w:tcW w:type="dxa" w:w="1728"/>
          </w:tcPr>
          <w:p>
            <w:pPr>
              <w:keepNext/>
            </w:pPr>
            <w:r/>
            <w:r>
              <w:t>(-436.5, 385.5)</w:t>
            </w:r>
          </w:p>
        </w:tc>
        <w:tc>
          <w:tcPr>
            <w:tcW w:type="dxa" w:w="1728"/>
          </w:tcPr>
          <w:p>
            <w:pPr>
              <w:keepNext/>
            </w:pPr>
            <w:r/>
            <w:r>
              <w:t>0.903</w:t>
            </w:r>
          </w:p>
        </w:tc>
      </w:tr>
      <w:tr>
        <w:trPr>
          <w:cantSplit/>
        </w:trPr>
        <w:tc>
          <w:tcPr>
            <w:tcW w:type="dxa" w:w="1728"/>
          </w:tcPr>
          <w:p>
            <w:r/>
            <w:r>
              <w:t>Cumulative WBGT excess substituted</w:t>
            </w:r>
          </w:p>
        </w:tc>
        <w:tc>
          <w:tcPr>
            <w:tcW w:type="dxa" w:w="1728"/>
          </w:tcPr>
          <w:p>
            <w:r/>
            <w:r>
              <w:t>47</w:t>
            </w:r>
          </w:p>
        </w:tc>
        <w:tc>
          <w:tcPr>
            <w:tcW w:type="dxa" w:w="1728"/>
          </w:tcPr>
          <w:p>
            <w:r/>
            <w:r>
              <w:t>90.6</w:t>
            </w:r>
          </w:p>
        </w:tc>
        <w:tc>
          <w:tcPr>
            <w:tcW w:type="dxa" w:w="1728"/>
          </w:tcPr>
          <w:p>
            <w:r/>
            <w:r>
              <w:t>(-320.5, 501.7)</w:t>
            </w:r>
          </w:p>
        </w:tc>
        <w:tc>
          <w:tcPr>
            <w:tcW w:type="dxa" w:w="1728"/>
          </w:tcPr>
          <w:p>
            <w:r/>
            <w:r>
              <w:t>0.666</w:t>
            </w:r>
          </w:p>
        </w:tc>
      </w:tr>
    </w:tbl>
    <w:p/>
    <w:p>
      <w:r>
        <w:t>Leave-one-prefecture-out (47 iterations): exposure coefficient range -107.9 to 92.8; 95% CI crossed zero in all 47 iterations.</w:t>
      </w:r>
    </w:p>
    <w:p>
      <w:pPr>
        <w:pStyle w:val="Heading3"/>
      </w:pPr>
      <w:r>
        <w:t>Influence diagnostics (O-D)</w:t>
      </w:r>
    </w:p>
    <w:p>
      <w:r>
        <w:t>Cook's distance threshold (4/N) = 0.085. Hokkaido: Cook's D = 0.667 (leverage 0.431); Kochi: 0.190; Hiroshima: 0.144.</w:t>
      </w:r>
    </w:p>
    <w:p>
      <w:pPr>
        <w:pStyle w:val="Heading3"/>
      </w:pPr>
      <w:r>
        <w:t>Nonlinearity (O-D)</w:t>
      </w:r>
    </w:p>
    <w:p>
      <w:r>
        <w:t>Quadratic term: partial F p = 0.142, AICc 845.6 (linear) vs 845.9 (quadratic). Natural cubic spline (df=3): p = 0.141, AICc 845.9. See Figure S2 for the predicted curve with 95% confidence band.</w:t>
      </w:r>
    </w:p>
    <w:p>
      <w:pPr>
        <w:pStyle w:val="Heading3"/>
      </w:pPr>
      <w:r>
        <w:t>Supplementary median-split analysis (reported for transparency; not a primary result)</w:t>
      </w:r>
    </w:p>
    <w:p>
      <w:r>
        <w:t>High stratum (≥ median): β = -192.9 (95% CI -1060.4, 674.6), p = 0.647. Low stratum (&lt; median): β = 20.7 (95% CI -973.9, 1015.3), p = 0.966. Neither stratum shows a significant association under full adjustment; this analysis does not support dose-response and is reported here for transparency alongside the originally submitted stratified approach.</w:t>
      </w:r>
    </w:p>
    <w:p>
      <w:pPr>
        <w:pStyle w:val="Heading2"/>
        <w:keepNext/>
      </w:pPr>
      <w:r>
        <w:t>Table S6. Exploratory WBGT metrics with FDR correction</w:t>
      </w:r>
    </w:p>
    <w:tbl>
      <w:tblPr>
        <w:tblStyle w:val="LightGrid-Accent1"/>
        <w:tblW w:type="auto" w:w="0"/>
        <w:tblLook w:firstColumn="1" w:firstRow="1" w:lastColumn="0" w:lastRow="0" w:noHBand="0" w:noVBand="1" w:val="04A0"/>
      </w:tblPr>
      <w:tblGrid>
        <w:gridCol w:w="2880"/>
        <w:gridCol w:w="2880"/>
        <w:gridCol w:w="2880"/>
      </w:tblGrid>
      <w:tr>
        <w:trPr>
          <w:tblHeader w:val="true"/>
          <w:cantSplit/>
        </w:trPr>
        <w:tc>
          <w:tcPr>
            <w:tcW w:type="dxa" w:w="2880"/>
          </w:tcPr>
          <w:p>
            <w:pPr>
              <w:keepNext/>
            </w:pPr>
            <w:r>
              <w:rPr>
                <w:b/>
              </w:rPr>
            </w:r>
            <w:r>
              <w:rPr>
                <w:b/>
              </w:rPr>
              <w:t>Heat metric</w:t>
            </w:r>
          </w:p>
        </w:tc>
        <w:tc>
          <w:tcPr>
            <w:tcW w:type="dxa" w:w="2880"/>
          </w:tcPr>
          <w:p>
            <w:pPr>
              <w:keepNext/>
            </w:pPr>
            <w:r>
              <w:rPr>
                <w:b/>
              </w:rPr>
            </w:r>
            <w:r>
              <w:rPr>
                <w:b/>
              </w:rPr>
              <w:t>Nominal p (metric's own association with outcome)</w:t>
            </w:r>
          </w:p>
        </w:tc>
        <w:tc>
          <w:tcPr>
            <w:tcW w:type="dxa" w:w="2880"/>
          </w:tcPr>
          <w:p>
            <w:pPr>
              <w:keepNext/>
            </w:pPr>
            <w:r>
              <w:rPr>
                <w:b/>
              </w:rPr>
            </w:r>
            <w:r>
              <w:rPr>
                <w:b/>
              </w:rPr>
              <w:t>BH-FDR-adjusted p</w:t>
            </w:r>
          </w:p>
        </w:tc>
      </w:tr>
      <w:tr>
        <w:trPr>
          <w:cantSplit/>
        </w:trPr>
        <w:tc>
          <w:tcPr>
            <w:tcW w:type="dxa" w:w="2880"/>
          </w:tcPr>
          <w:p>
            <w:pPr>
              <w:keepNext/>
            </w:pPr>
            <w:r/>
            <w:r>
              <w:t>WBGT ≥31 days</w:t>
            </w:r>
          </w:p>
        </w:tc>
        <w:tc>
          <w:tcPr>
            <w:tcW w:type="dxa" w:w="2880"/>
          </w:tcPr>
          <w:p>
            <w:pPr>
              <w:keepNext/>
            </w:pPr>
            <w:r/>
            <w:r>
              <w:t>0.977</w:t>
            </w:r>
          </w:p>
        </w:tc>
        <w:tc>
          <w:tcPr>
            <w:tcW w:type="dxa" w:w="2880"/>
          </w:tcPr>
          <w:p>
            <w:pPr>
              <w:keepNext/>
            </w:pPr>
            <w:r/>
            <w:r>
              <w:t>0.977</w:t>
            </w:r>
          </w:p>
        </w:tc>
      </w:tr>
      <w:tr>
        <w:trPr>
          <w:cantSplit/>
        </w:trPr>
        <w:tc>
          <w:tcPr>
            <w:tcW w:type="dxa" w:w="2880"/>
          </w:tcPr>
          <w:p>
            <w:pPr>
              <w:keepNext/>
            </w:pPr>
            <w:r/>
            <w:r>
              <w:t>WBGT ≥33 days</w:t>
            </w:r>
          </w:p>
        </w:tc>
        <w:tc>
          <w:tcPr>
            <w:tcW w:type="dxa" w:w="2880"/>
          </w:tcPr>
          <w:p>
            <w:pPr>
              <w:keepNext/>
            </w:pPr>
            <w:r/>
            <w:r>
              <w:t>0.018</w:t>
            </w:r>
          </w:p>
        </w:tc>
        <w:tc>
          <w:tcPr>
            <w:tcW w:type="dxa" w:w="2880"/>
          </w:tcPr>
          <w:p>
            <w:pPr>
              <w:keepNext/>
            </w:pPr>
            <w:r/>
            <w:r>
              <w:t>0.055</w:t>
            </w:r>
          </w:p>
        </w:tc>
      </w:tr>
      <w:tr>
        <w:trPr>
          <w:cantSplit/>
        </w:trPr>
        <w:tc>
          <w:tcPr>
            <w:tcW w:type="dxa" w:w="2880"/>
          </w:tcPr>
          <w:p>
            <w:r/>
            <w:r>
              <w:t>Cumulative WBGT excess (&gt;28)</w:t>
            </w:r>
          </w:p>
        </w:tc>
        <w:tc>
          <w:tcPr>
            <w:tcW w:type="dxa" w:w="2880"/>
          </w:tcPr>
          <w:p>
            <w:r/>
            <w:r>
              <w:t>0.700</w:t>
            </w:r>
          </w:p>
        </w:tc>
        <w:tc>
          <w:tcPr>
            <w:tcW w:type="dxa" w:w="2880"/>
          </w:tcPr>
          <w:p>
            <w:r/>
            <w:r>
              <w:t>0.977</w:t>
            </w:r>
          </w:p>
        </w:tc>
      </w:tr>
    </w:tbl>
    <w:p/>
    <w:p>
      <w:r>
        <w:t>WBGT ≥33 days showed a nominal association that did not remain significant after FDR correction.</w:t>
      </w:r>
    </w:p>
    <w:p>
      <w:pPr>
        <w:pStyle w:val="Heading2"/>
        <w:keepNext/>
      </w:pPr>
      <w:r>
        <w:t>Table S7. Exploratory comparison-outcome analysis</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pPr>
              <w:keepNext/>
            </w:pPr>
            <w:r>
              <w:rPr>
                <w:b/>
              </w:rPr>
            </w:r>
            <w:r>
              <w:rPr>
                <w:b/>
              </w:rPr>
              <w:t>Outcome</w:t>
            </w:r>
          </w:p>
        </w:tc>
        <w:tc>
          <w:tcPr>
            <w:tcW w:type="dxa" w:w="1728"/>
          </w:tcPr>
          <w:p>
            <w:pPr>
              <w:keepNext/>
            </w:pPr>
            <w:r>
              <w:rPr>
                <w:b/>
              </w:rPr>
            </w:r>
            <w:r>
              <w:rPr>
                <w:b/>
              </w:rPr>
              <w:t>Pearson r</w:t>
            </w:r>
          </w:p>
        </w:tc>
        <w:tc>
          <w:tcPr>
            <w:tcW w:type="dxa" w:w="1728"/>
          </w:tcPr>
          <w:p>
            <w:pPr>
              <w:keepNext/>
            </w:pPr>
            <w:r>
              <w:rPr>
                <w:b/>
              </w:rPr>
            </w:r>
            <w:r>
              <w:rPr>
                <w:b/>
              </w:rPr>
              <w:t>R²</w:t>
            </w:r>
          </w:p>
        </w:tc>
        <w:tc>
          <w:tcPr>
            <w:tcW w:type="dxa" w:w="1728"/>
          </w:tcPr>
          <w:p>
            <w:pPr>
              <w:keepNext/>
            </w:pPr>
            <w:r>
              <w:rPr>
                <w:b/>
              </w:rPr>
            </w:r>
            <w:r>
              <w:rPr>
                <w:b/>
              </w:rPr>
              <w:t>Standardized β (95% CI)</w:t>
            </w:r>
          </w:p>
        </w:tc>
        <w:tc>
          <w:tcPr>
            <w:tcW w:type="dxa" w:w="1728"/>
          </w:tcPr>
          <w:p>
            <w:pPr>
              <w:keepNext/>
            </w:pPr>
            <w:r>
              <w:rPr>
                <w:b/>
              </w:rPr>
            </w:r>
            <w:r>
              <w:rPr>
                <w:b/>
              </w:rPr>
              <w:t>p</w:t>
            </w:r>
          </w:p>
        </w:tc>
      </w:tr>
      <w:tr>
        <w:trPr>
          <w:cantSplit/>
        </w:trPr>
        <w:tc>
          <w:tcPr>
            <w:tcW w:type="dxa" w:w="1728"/>
          </w:tcPr>
          <w:p>
            <w:pPr>
              <w:keepNext/>
            </w:pPr>
            <w:r/>
            <w:r>
              <w:t>Primary outcome (large-volume infusion therapy)</w:t>
            </w:r>
          </w:p>
        </w:tc>
        <w:tc>
          <w:tcPr>
            <w:tcW w:type="dxa" w:w="1728"/>
          </w:tcPr>
          <w:p>
            <w:pPr>
              <w:keepNext/>
            </w:pPr>
            <w:r/>
            <w:r>
              <w:t>0.521</w:t>
            </w:r>
          </w:p>
        </w:tc>
        <w:tc>
          <w:tcPr>
            <w:tcW w:type="dxa" w:w="1728"/>
          </w:tcPr>
          <w:p>
            <w:pPr>
              <w:keepNext/>
            </w:pPr>
            <w:r/>
            <w:r>
              <w:t>0.272</w:t>
            </w:r>
          </w:p>
        </w:tc>
        <w:tc>
          <w:tcPr>
            <w:tcW w:type="dxa" w:w="1728"/>
          </w:tcPr>
          <w:p>
            <w:pPr>
              <w:keepNext/>
            </w:pPr>
            <w:r/>
            <w:r>
              <w:t>0.521 (0.260, 0.783)</w:t>
            </w:r>
          </w:p>
        </w:tc>
        <w:tc>
          <w:tcPr>
            <w:tcW w:type="dxa" w:w="1728"/>
          </w:tcPr>
          <w:p>
            <w:pPr>
              <w:keepNext/>
            </w:pPr>
            <w:r/>
            <w:r>
              <w:t>&lt;0.001</w:t>
            </w:r>
          </w:p>
        </w:tc>
      </w:tr>
      <w:tr>
        <w:trPr>
          <w:cantSplit/>
        </w:trPr>
        <w:tc>
          <w:tcPr>
            <w:tcW w:type="dxa" w:w="1728"/>
          </w:tcPr>
          <w:p>
            <w:r/>
            <w:r>
              <w:t>Comparison outcome (general outpatient utilization)</w:t>
            </w:r>
          </w:p>
        </w:tc>
        <w:tc>
          <w:tcPr>
            <w:tcW w:type="dxa" w:w="1728"/>
          </w:tcPr>
          <w:p>
            <w:r/>
            <w:r>
              <w:t>0.424</w:t>
            </w:r>
          </w:p>
        </w:tc>
        <w:tc>
          <w:tcPr>
            <w:tcW w:type="dxa" w:w="1728"/>
          </w:tcPr>
          <w:p>
            <w:r/>
            <w:r>
              <w:t>0.180</w:t>
            </w:r>
          </w:p>
        </w:tc>
        <w:tc>
          <w:tcPr>
            <w:tcW w:type="dxa" w:w="1728"/>
          </w:tcPr>
          <w:p>
            <w:r/>
            <w:r>
              <w:t>0.424 (0.088, 0.760)</w:t>
            </w:r>
          </w:p>
        </w:tc>
        <w:tc>
          <w:tcPr>
            <w:tcW w:type="dxa" w:w="1728"/>
          </w:tcPr>
          <w:p>
            <w:r/>
            <w:r>
              <w:t>0.013</w:t>
            </w:r>
          </w:p>
        </w:tc>
      </w:tr>
    </w:tbl>
    <w:p/>
    <w:p>
      <w:r>
        <w:t>Reported under the primary (original) exposure, unadjusted (Model O-A basis); standardized comparisons only, consistent with Reviewer 2's comment 5. The standardized association with infusion therapy (0.521) is only modestly larger than with general outpatient utilization (0.424); this does not support the outcome specificity implied by the originally reported raw-coefficient ("sixfold") comparison, which has been removed.</w:t>
      </w:r>
    </w:p>
    <w:p>
      <w:pPr>
        <w:pStyle w:val="Heading2"/>
      </w:pPr>
      <w:r>
        <w:t>Figure S1</w:t>
      </w:r>
    </w:p>
    <w:p>
      <w:r>
        <w:drawing>
          <wp:inline xmlns:a="http://schemas.openxmlformats.org/drawingml/2006/main" xmlns:pic="http://schemas.openxmlformats.org/drawingml/2006/picture">
            <wp:extent cx="5303520" cy="3636699"/>
            <wp:docPr id="1" name="Picture 1"/>
            <wp:cNvGraphicFramePr>
              <a:graphicFrameLocks noChangeAspect="1"/>
            </wp:cNvGraphicFramePr>
            <a:graphic>
              <a:graphicData uri="http://schemas.openxmlformats.org/drawingml/2006/picture">
                <pic:pic>
                  <pic:nvPicPr>
                    <pic:cNvPr id="0" name="figure_s1_denominator_comparison.png"/>
                    <pic:cNvPicPr/>
                  </pic:nvPicPr>
                  <pic:blipFill>
                    <a:blip r:embed="rId9"/>
                    <a:stretch>
                      <a:fillRect/>
                    </a:stretch>
                  </pic:blipFill>
                  <pic:spPr>
                    <a:xfrm>
                      <a:off x="0" y="0"/>
                      <a:ext cx="5303520" cy="3636699"/>
                    </a:xfrm>
                    <a:prstGeom prst="rect"/>
                  </pic:spPr>
                </pic:pic>
              </a:graphicData>
            </a:graphic>
          </wp:inline>
        </w:drawing>
      </w:r>
    </w:p>
    <w:p>
      <w:r>
        <w:t>Coefficient plot for the primary exposure across O-A–O-D with HC3 95% CIs (same as main Figure 1, reproduced here alongside the legacy-denominator estimates for comparison). Blue circles: primary analysis (2023 population denominator, matches main Figure 1). Orange squares: sensitivity analysis using the 2020 Census population denominator (Table S3).</w:t>
      </w:r>
    </w:p>
    <w:p>
      <w:pPr>
        <w:pStyle w:val="Heading2"/>
      </w:pPr>
      <w:r>
        <w:t>Figure S2</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figure_original_exposure_nonlinearity.png"/>
                    <pic:cNvPicPr/>
                  </pic:nvPicPr>
                  <pic:blipFill>
                    <a:blip r:embed="rId10"/>
                    <a:stretch>
                      <a:fillRect/>
                    </a:stretch>
                  </pic:blipFill>
                  <pic:spPr>
                    <a:xfrm>
                      <a:off x="0" y="0"/>
                      <a:ext cx="5303520" cy="3788229"/>
                    </a:xfrm>
                    <a:prstGeom prst="rect"/>
                  </pic:spPr>
                </pic:pic>
              </a:graphicData>
            </a:graphic>
          </wp:inline>
        </w:drawing>
      </w:r>
    </w:p>
    <w:p>
      <w:r>
        <w:t>Predicted-value curve (linear fit) with 95% confidence band across the observed range of the primary exposure, from the fully adjusted (O-D) model with the ageing rate, hospital beds, and WBGT≥28d covariates held at their mean values. Grey points show observed prefecture-level data (unadjusted).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