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Population Age Structure Explains the Ecological Association Between Older-Adult Solo Household Rate and Large-Volume Infusion Therapy Utilization in Japan</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but this association was substantially explained by prefectural population age structure and was further attenuated toward zero after additional adjustment for healthcare supply and summer heat exposure. These findings indicate that population age structure is a key driver of the apparent ecological association between elderly solo household rate and infusion therapy utilization, underscoring the importance of accounting for demographic composition when evaluating routinely available household-composition indicators for heat-health and social-vulnerability surveillance.</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Comparison with FDMA Heatstroke Ambulance Transport</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indicate that population age structure substantially explains the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The present ecological results indicate that population age structure, rather than living alone itself, is the principal driver of the observed prefecture-level association with infusion therapy utilization.</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That population age structure explains most of the ecological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indicate that prefecture-level social-vulnerability indicators such as elderly solo household rate substantially reflect population age structure, and require careful demographic validation, together with consideration of healthcare supply and improved heat-exposure measures, before being proposed for heat-health surveillance.</w:t>
      </w:r>
    </w:p>
    <w:p w14:paraId="2C2983C0" w14:textId="77777777" w:rsidR="00F82D81" w:rsidRDefault="000D7512" w:rsidP="000D7512">
      <w:pPr>
        <w:pStyle w:val="BodyText"/>
        <w:spacing w:line="360" w:lineRule="auto"/>
      </w:pPr>
      <w:r>
        <w:t>Strengths include nationwide coverage of all 47 prefectures, use of NDB Open Data,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(2023), which was unusually hot at the time (Japan Meteorological Agency 2023); given that summers in Japan are projected to become progressively hotter, this single-year window may in fact be broadly representative of near-future conditions, although replication across multiple years remains necessary to confirm generalizability.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this association was substantially explained by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indicate that population age structure, together with healthcare supply and heat exposure, substantially explains the ecological association between elderly solo household rate and infusion therapy utilization. Given the ecological, cross-sectional, and single-year design, these findings should be regarded as hypothesis-generating; they highlight the importance of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(https://doi.org/10.5281/zenodo.20740374), which always resolves to the most recent version.</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Sonnet 5, Anthropic,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2808"/>
        <w:gridCol w:w="1080"/>
        <w:gridCol w:w="461"/>
        <w:gridCol w:w="835"/>
        <w:gridCol w:w="792"/>
        <w:gridCol w:w="792"/>
        <w:gridCol w:w="893"/>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2808" w:type="dxa"/>
          </w:tcPr>
          <w:p w14:paraId="0893F802" w14:textId="77777777" w:rsidR="00F82D81" w:rsidRDefault="000D7512" w:rsidP="000D7512">
            <w:pPr>
              <w:pStyle w:val="Compact"/>
              <w:spacing w:line="360" w:lineRule="auto"/>
            </w:pPr>
            <w:r>
              <w:rPr>
                <w:sz w:val="18"/>
              </w:rPr>
              <w:t>Variable</w:t>
            </w:r>
          </w:p>
        </w:tc>
        <w:tc>
          <w:tcPr>
            <w:tcW w:w="1080" w:type="dxa"/>
          </w:tcPr>
          <w:p w14:paraId="2F9E1625" w14:textId="77777777" w:rsidR="00F82D81" w:rsidRDefault="000D7512" w:rsidP="000D7512">
            <w:pPr>
              <w:pStyle w:val="Compact"/>
              <w:spacing w:line="360" w:lineRule="auto"/>
            </w:pPr>
            <w:r>
              <w:rPr>
                <w:sz w:val="18"/>
              </w:rPr>
              <w:t>Unit</w:t>
            </w:r>
          </w:p>
        </w:tc>
        <w:tc>
          <w:tcPr>
            <w:tcW w:w="461" w:type="dxa"/>
          </w:tcPr>
          <w:p w14:paraId="5EC4481E" w14:textId="77777777" w:rsidR="00F82D81" w:rsidRDefault="000D7512" w:rsidP="000D7512">
            <w:pPr>
              <w:pStyle w:val="Compact"/>
              <w:spacing w:line="360" w:lineRule="auto"/>
              <w:jc w:val="right"/>
            </w:pPr>
            <w:r>
              <w:rPr>
                <w:sz w:val="18"/>
              </w:rPr>
              <w:t>N</w:t>
            </w:r>
          </w:p>
        </w:tc>
        <w:tc>
          <w:tcPr>
            <w:tcW w:w="835" w:type="dxa"/>
          </w:tcPr>
          <w:p w14:paraId="2B0F91B6" w14:textId="77777777" w:rsidR="00F82D81" w:rsidRDefault="000D7512" w:rsidP="000D7512">
            <w:pPr>
              <w:pStyle w:val="Compact"/>
              <w:spacing w:line="360" w:lineRule="auto"/>
              <w:jc w:val="right"/>
            </w:pPr>
            <w:r>
              <w:rPr>
                <w:sz w:val="18"/>
              </w:rPr>
              <w:t>Mean</w:t>
            </w:r>
          </w:p>
        </w:tc>
        <w:tc>
          <w:tcPr>
            <w:tcW w:w="792" w:type="dxa"/>
          </w:tcPr>
          <w:p w14:paraId="0F55B701" w14:textId="77777777" w:rsidR="00F82D81" w:rsidRDefault="000D7512" w:rsidP="000D7512">
            <w:pPr>
              <w:pStyle w:val="Compact"/>
              <w:spacing w:line="360" w:lineRule="auto"/>
              <w:jc w:val="right"/>
            </w:pPr>
            <w:r>
              <w:rPr>
                <w:sz w:val="18"/>
              </w:rPr>
              <w:t>SD</w:t>
            </w:r>
          </w:p>
        </w:tc>
        <w:tc>
          <w:tcPr>
            <w:tcW w:w="792" w:type="dxa"/>
          </w:tcPr>
          <w:p w14:paraId="665A6A91" w14:textId="77777777" w:rsidR="00F82D81" w:rsidRDefault="000D7512" w:rsidP="000D7512">
            <w:pPr>
              <w:pStyle w:val="Compact"/>
              <w:spacing w:line="360" w:lineRule="auto"/>
              <w:jc w:val="right"/>
            </w:pPr>
            <w:r>
              <w:rPr>
                <w:sz w:val="18"/>
              </w:rPr>
              <w:t>Min</w:t>
            </w:r>
          </w:p>
        </w:tc>
        <w:tc>
          <w:tcPr>
            <w:tcW w:w="893"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2808"/>
          </w:tcPr>
          <w:p>
            <w:r>
              <w:rPr>
                <w:sz w:val="18"/>
              </w:rPr>
              <w:t>Outcome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Large-volume infusion therapy utilization (G004, ≥500 mL)</w:t>
            </w:r>
          </w:p>
        </w:tc>
        <w:tc>
          <w:tcPr>
            <w:tcW w:type="dxa" w:w="1080"/>
          </w:tcPr>
          <w:p>
            <w:r>
              <w:rPr>
                <w:sz w:val="18"/>
              </w:rPr>
              <w:t>per 100,000</w:t>
            </w:r>
          </w:p>
        </w:tc>
        <w:tc>
          <w:tcPr>
            <w:tcW w:type="dxa" w:w="461"/>
          </w:tcPr>
          <w:p>
            <w:r>
              <w:rPr>
                <w:sz w:val="18"/>
              </w:rPr>
              <w:t>47</w:t>
            </w:r>
          </w:p>
        </w:tc>
        <w:tc>
          <w:tcPr>
            <w:tcW w:type="dxa" w:w="835"/>
          </w:tcPr>
          <w:p>
            <w:r>
              <w:rPr>
                <w:sz w:val="18"/>
              </w:rPr>
              <w:t>8,022.2</w:t>
            </w:r>
          </w:p>
        </w:tc>
        <w:tc>
          <w:tcPr>
            <w:tcW w:type="dxa" w:w="792"/>
          </w:tcPr>
          <w:p>
            <w:r>
              <w:rPr>
                <w:sz w:val="18"/>
              </w:rPr>
              <w:t>2,389.3</w:t>
            </w:r>
          </w:p>
        </w:tc>
        <w:tc>
          <w:tcPr>
            <w:tcW w:type="dxa" w:w="792"/>
          </w:tcPr>
          <w:p>
            <w:r>
              <w:rPr>
                <w:sz w:val="18"/>
              </w:rPr>
              <w:t>4,231.3</w:t>
            </w:r>
          </w:p>
        </w:tc>
        <w:tc>
          <w:tcPr>
            <w:tcW w:type="dxa" w:w="893"/>
          </w:tcPr>
          <w:p>
            <w:r>
              <w:rPr>
                <w:sz w:val="18"/>
              </w:rPr>
              <w:t>7,608.7</w:t>
            </w:r>
          </w:p>
        </w:tc>
        <w:tc>
          <w:tcPr>
            <w:tcW w:type="dxa" w:w="936"/>
          </w:tcPr>
          <w:p>
            <w:r>
              <w:rPr>
                <w:sz w:val="18"/>
              </w:rPr>
              <w:t>13,234.1</w:t>
            </w:r>
          </w:p>
        </w:tc>
      </w:tr>
      <w:tr>
        <w:tc>
          <w:tcPr>
            <w:tcW w:type="dxa" w:w="2808"/>
          </w:tcPr>
          <w:p>
            <w:r>
              <w:rPr>
                <w:sz w:val="18"/>
              </w:rPr>
              <w:t>Exposure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Elderly solo household rate</w:t>
            </w:r>
          </w:p>
        </w:tc>
        <w:tc>
          <w:tcPr>
            <w:tcW w:type="dxa" w:w="1080"/>
          </w:tcPr>
          <w:p>
            <w:r>
              <w:rPr>
                <w:sz w:val="18"/>
              </w:rPr>
              <w:t>%</w:t>
            </w:r>
          </w:p>
        </w:tc>
        <w:tc>
          <w:tcPr>
            <w:tcW w:type="dxa" w:w="461"/>
          </w:tcPr>
          <w:p>
            <w:r>
              <w:rPr>
                <w:sz w:val="18"/>
              </w:rPr>
              <w:t>47</w:t>
            </w:r>
          </w:p>
        </w:tc>
        <w:tc>
          <w:tcPr>
            <w:tcW w:type="dxa" w:w="835"/>
          </w:tcPr>
          <w:p>
            <w:r>
              <w:rPr>
                <w:sz w:val="18"/>
              </w:rPr>
              <w:t>12.6</w:t>
            </w:r>
          </w:p>
        </w:tc>
        <w:tc>
          <w:tcPr>
            <w:tcW w:type="dxa" w:w="792"/>
          </w:tcPr>
          <w:p>
            <w:r>
              <w:rPr>
                <w:sz w:val="18"/>
              </w:rPr>
              <w:t>1.9</w:t>
            </w:r>
          </w:p>
        </w:tc>
        <w:tc>
          <w:tcPr>
            <w:tcW w:type="dxa" w:w="792"/>
          </w:tcPr>
          <w:p>
            <w:r>
              <w:rPr>
                <w:sz w:val="18"/>
              </w:rPr>
              <w:t>9.4</w:t>
            </w:r>
          </w:p>
        </w:tc>
        <w:tc>
          <w:tcPr>
            <w:tcW w:type="dxa" w:w="893"/>
          </w:tcPr>
          <w:p>
            <w:r>
              <w:rPr>
                <w:sz w:val="18"/>
              </w:rPr>
              <w:t>12.3</w:t>
            </w:r>
          </w:p>
        </w:tc>
        <w:tc>
          <w:tcPr>
            <w:tcW w:type="dxa" w:w="936"/>
          </w:tcPr>
          <w:p>
            <w:r>
              <w:rPr>
                <w:sz w:val="18"/>
              </w:rPr>
              <w:t>17.8</w:t>
            </w:r>
          </w:p>
        </w:tc>
      </w:tr>
      <w:tr>
        <w:tc>
          <w:tcPr>
            <w:tcW w:type="dxa" w:w="2808"/>
          </w:tcPr>
          <w:p>
            <w:r>
              <w:rPr>
                <w:sz w:val="18"/>
              </w:rPr>
              <w:t>Alternative exposure (sensitivity)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 of population aged ≥65 living alone</w:t>
            </w:r>
          </w:p>
        </w:tc>
        <w:tc>
          <w:tcPr>
            <w:tcW w:type="dxa" w:w="1080"/>
          </w:tcPr>
          <w:p>
            <w:r>
              <w:rPr>
                <w:sz w:val="18"/>
              </w:rPr>
              <w:t>%</w:t>
            </w:r>
          </w:p>
        </w:tc>
        <w:tc>
          <w:tcPr>
            <w:tcW w:type="dxa" w:w="461"/>
          </w:tcPr>
          <w:p>
            <w:r>
              <w:rPr>
                <w:sz w:val="18"/>
              </w:rPr>
              <w:t>47</w:t>
            </w:r>
          </w:p>
        </w:tc>
        <w:tc>
          <w:tcPr>
            <w:tcW w:type="dxa" w:w="835"/>
          </w:tcPr>
          <w:p>
            <w:r>
              <w:rPr>
                <w:sz w:val="18"/>
              </w:rPr>
              <w:t>17.7</w:t>
            </w:r>
          </w:p>
        </w:tc>
        <w:tc>
          <w:tcPr>
            <w:tcW w:type="dxa" w:w="792"/>
          </w:tcPr>
          <w:p>
            <w:r>
              <w:rPr>
                <w:sz w:val="18"/>
              </w:rPr>
              <w:t>3.1</w:t>
            </w:r>
          </w:p>
        </w:tc>
        <w:tc>
          <w:tcPr>
            <w:tcW w:type="dxa" w:w="792"/>
          </w:tcPr>
          <w:p>
            <w:r>
              <w:rPr>
                <w:sz w:val="18"/>
              </w:rPr>
              <w:t>12.1</w:t>
            </w:r>
          </w:p>
        </w:tc>
        <w:tc>
          <w:tcPr>
            <w:tcW w:type="dxa" w:w="893"/>
          </w:tcPr>
          <w:p>
            <w:r>
              <w:rPr>
                <w:sz w:val="18"/>
              </w:rPr>
              <w:t>17.1</w:t>
            </w:r>
          </w:p>
        </w:tc>
        <w:tc>
          <w:tcPr>
            <w:tcW w:type="dxa" w:w="936"/>
          </w:tcPr>
          <w:p>
            <w:r>
              <w:rPr>
                <w:sz w:val="18"/>
              </w:rPr>
              <w:t>26.1</w:t>
            </w:r>
          </w:p>
        </w:tc>
      </w:tr>
      <w:tr>
        <w:tc>
          <w:tcPr>
            <w:tcW w:type="dxa" w:w="2808"/>
          </w:tcPr>
          <w:p>
            <w:r>
              <w:rPr>
                <w:sz w:val="18"/>
              </w:rPr>
              <w:t>Adjustment variables</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Prefectural ageing rate</w:t>
            </w:r>
          </w:p>
        </w:tc>
        <w:tc>
          <w:tcPr>
            <w:tcW w:type="dxa" w:w="1080"/>
          </w:tcPr>
          <w:p>
            <w:r>
              <w:rPr>
                <w:sz w:val="18"/>
              </w:rPr>
              <w:t>%</w:t>
            </w:r>
          </w:p>
        </w:tc>
        <w:tc>
          <w:tcPr>
            <w:tcW w:type="dxa" w:w="461"/>
          </w:tcPr>
          <w:p>
            <w:r>
              <w:rPr>
                <w:sz w:val="18"/>
              </w:rPr>
              <w:t>47</w:t>
            </w:r>
          </w:p>
        </w:tc>
        <w:tc>
          <w:tcPr>
            <w:tcW w:type="dxa" w:w="835"/>
          </w:tcPr>
          <w:p>
            <w:r>
              <w:rPr>
                <w:sz w:val="18"/>
              </w:rPr>
              <w:t>31.6</w:t>
            </w:r>
          </w:p>
        </w:tc>
        <w:tc>
          <w:tcPr>
            <w:tcW w:type="dxa" w:w="792"/>
          </w:tcPr>
          <w:p>
            <w:r>
              <w:rPr>
                <w:sz w:val="18"/>
              </w:rPr>
              <w:t>3.3</w:t>
            </w:r>
          </w:p>
        </w:tc>
        <w:tc>
          <w:tcPr>
            <w:tcW w:type="dxa" w:w="792"/>
          </w:tcPr>
          <w:p>
            <w:r>
              <w:rPr>
                <w:sz w:val="18"/>
              </w:rPr>
              <w:t>22.8</w:t>
            </w:r>
          </w:p>
        </w:tc>
        <w:tc>
          <w:tcPr>
            <w:tcW w:type="dxa" w:w="893"/>
          </w:tcPr>
          <w:p>
            <w:r>
              <w:rPr>
                <w:sz w:val="18"/>
              </w:rPr>
              <w:t>31.7</w:t>
            </w:r>
          </w:p>
        </w:tc>
        <w:tc>
          <w:tcPr>
            <w:tcW w:type="dxa" w:w="936"/>
          </w:tcPr>
          <w:p>
            <w:r>
              <w:rPr>
                <w:sz w:val="18"/>
              </w:rPr>
              <w:t>39.0</w:t>
            </w:r>
          </w:p>
        </w:tc>
      </w:tr>
      <w:tr>
        <w:tc>
          <w:tcPr>
            <w:tcW w:type="dxa" w:w="2808"/>
          </w:tcPr>
          <w:p>
            <w:r>
              <w:rPr>
                <w:sz w:val="18"/>
              </w:rPr>
              <w:t>General hospital beds</w:t>
            </w:r>
          </w:p>
        </w:tc>
        <w:tc>
          <w:tcPr>
            <w:tcW w:type="dxa" w:w="1080"/>
          </w:tcPr>
          <w:p>
            <w:r>
              <w:rPr>
                <w:sz w:val="18"/>
              </w:rPr>
              <w:t>per 100,000</w:t>
            </w:r>
          </w:p>
        </w:tc>
        <w:tc>
          <w:tcPr>
            <w:tcW w:type="dxa" w:w="461"/>
          </w:tcPr>
          <w:p>
            <w:r>
              <w:rPr>
                <w:sz w:val="18"/>
              </w:rPr>
              <w:t>47</w:t>
            </w:r>
          </w:p>
        </w:tc>
        <w:tc>
          <w:tcPr>
            <w:tcW w:type="dxa" w:w="835"/>
          </w:tcPr>
          <w:p>
            <w:r>
              <w:rPr>
                <w:sz w:val="18"/>
              </w:rPr>
              <w:t>794.2</w:t>
            </w:r>
          </w:p>
        </w:tc>
        <w:tc>
          <w:tcPr>
            <w:tcW w:type="dxa" w:w="792"/>
          </w:tcPr>
          <w:p>
            <w:r>
              <w:rPr>
                <w:sz w:val="18"/>
              </w:rPr>
              <w:t>148.5</w:t>
            </w:r>
          </w:p>
        </w:tc>
        <w:tc>
          <w:tcPr>
            <w:tcW w:type="dxa" w:w="792"/>
          </w:tcPr>
          <w:p>
            <w:r>
              <w:rPr>
                <w:sz w:val="18"/>
              </w:rPr>
              <w:t>508.7</w:t>
            </w:r>
          </w:p>
        </w:tc>
        <w:tc>
          <w:tcPr>
            <w:tcW w:type="dxa" w:w="893"/>
          </w:tcPr>
          <w:p>
            <w:r>
              <w:rPr>
                <w:sz w:val="18"/>
              </w:rPr>
              <w:t>800.3</w:t>
            </w:r>
          </w:p>
        </w:tc>
        <w:tc>
          <w:tcPr>
            <w:tcW w:type="dxa" w:w="936"/>
          </w:tcPr>
          <w:p>
            <w:r>
              <w:rPr>
                <w:sz w:val="18"/>
              </w:rPr>
              <w:t>1,146.5</w:t>
            </w:r>
          </w:p>
        </w:tc>
      </w:tr>
      <w:tr>
        <w:tc>
          <w:tcPr>
            <w:tcW w:type="dxa" w:w="2808"/>
          </w:tcPr>
          <w:p>
            <w:r>
              <w:rPr>
                <w:sz w:val="18"/>
              </w:rPr>
              <w:t>General clinics (sensitivity)</w:t>
            </w:r>
          </w:p>
        </w:tc>
        <w:tc>
          <w:tcPr>
            <w:tcW w:type="dxa" w:w="1080"/>
          </w:tcPr>
          <w:p>
            <w:r>
              <w:rPr>
                <w:sz w:val="18"/>
              </w:rPr>
              <w:t>per 100,000</w:t>
            </w:r>
          </w:p>
        </w:tc>
        <w:tc>
          <w:tcPr>
            <w:tcW w:type="dxa" w:w="461"/>
          </w:tcPr>
          <w:p>
            <w:r>
              <w:rPr>
                <w:sz w:val="18"/>
              </w:rPr>
              <w:t>47</w:t>
            </w:r>
          </w:p>
        </w:tc>
        <w:tc>
          <w:tcPr>
            <w:tcW w:type="dxa" w:w="835"/>
          </w:tcPr>
          <w:p>
            <w:r>
              <w:rPr>
                <w:sz w:val="18"/>
              </w:rPr>
              <w:t>84.5</w:t>
            </w:r>
          </w:p>
        </w:tc>
        <w:tc>
          <w:tcPr>
            <w:tcW w:type="dxa" w:w="792"/>
          </w:tcPr>
          <w:p>
            <w:r>
              <w:rPr>
                <w:sz w:val="18"/>
              </w:rPr>
              <w:t>11.9</w:t>
            </w:r>
          </w:p>
        </w:tc>
        <w:tc>
          <w:tcPr>
            <w:tcW w:type="dxa" w:w="792"/>
          </w:tcPr>
          <w:p>
            <w:r>
              <w:rPr>
                <w:sz w:val="18"/>
              </w:rPr>
              <w:t>61.8</w:t>
            </w:r>
          </w:p>
        </w:tc>
        <w:tc>
          <w:tcPr>
            <w:tcW w:type="dxa" w:w="893"/>
          </w:tcPr>
          <w:p>
            <w:r>
              <w:rPr>
                <w:sz w:val="18"/>
              </w:rPr>
              <w:t>85.9</w:t>
            </w:r>
          </w:p>
        </w:tc>
        <w:tc>
          <w:tcPr>
            <w:tcW w:type="dxa" w:w="936"/>
          </w:tcPr>
          <w:p>
            <w:r>
              <w:rPr>
                <w:sz w:val="18"/>
              </w:rPr>
              <w:t>113.0</w:t>
            </w:r>
          </w:p>
        </w:tc>
      </w:tr>
      <w:tr>
        <w:tc>
          <w:tcPr>
            <w:tcW w:type="dxa" w:w="2808"/>
          </w:tcPr>
          <w:p>
            <w:r>
              <w:rPr>
                <w:sz w:val="18"/>
              </w:rPr>
              <w:t>Climatic variables</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Days with WBGT ≥28°C (official, primary)</w:t>
            </w:r>
          </w:p>
        </w:tc>
        <w:tc>
          <w:tcPr>
            <w:tcW w:type="dxa" w:w="1080"/>
          </w:tcPr>
          <w:p>
            <w:r>
              <w:rPr>
                <w:sz w:val="18"/>
              </w:rPr>
              <w:t>days</w:t>
            </w:r>
          </w:p>
        </w:tc>
        <w:tc>
          <w:tcPr>
            <w:tcW w:type="dxa" w:w="461"/>
          </w:tcPr>
          <w:p>
            <w:r>
              <w:rPr>
                <w:sz w:val="18"/>
              </w:rPr>
              <w:t>47</w:t>
            </w:r>
          </w:p>
        </w:tc>
        <w:tc>
          <w:tcPr>
            <w:tcW w:type="dxa" w:w="835"/>
          </w:tcPr>
          <w:p>
            <w:r>
              <w:rPr>
                <w:sz w:val="18"/>
              </w:rPr>
              <w:t>72.9</w:t>
            </w:r>
          </w:p>
        </w:tc>
        <w:tc>
          <w:tcPr>
            <w:tcW w:type="dxa" w:w="792"/>
          </w:tcPr>
          <w:p>
            <w:r>
              <w:rPr>
                <w:sz w:val="18"/>
              </w:rPr>
              <w:t>14.1</w:t>
            </w:r>
          </w:p>
        </w:tc>
        <w:tc>
          <w:tcPr>
            <w:tcW w:type="dxa" w:w="792"/>
          </w:tcPr>
          <w:p>
            <w:r>
              <w:rPr>
                <w:sz w:val="18"/>
              </w:rPr>
              <w:t>27.3</w:t>
            </w:r>
          </w:p>
        </w:tc>
        <w:tc>
          <w:tcPr>
            <w:tcW w:type="dxa" w:w="893"/>
          </w:tcPr>
          <w:p>
            <w:r>
              <w:rPr>
                <w:sz w:val="18"/>
              </w:rPr>
              <w:t>74.7</w:t>
            </w:r>
          </w:p>
        </w:tc>
        <w:tc>
          <w:tcPr>
            <w:tcW w:type="dxa" w:w="936"/>
          </w:tcPr>
          <w:p>
            <w:r>
              <w:rPr>
                <w:sz w:val="18"/>
              </w:rPr>
              <w:t>112.3</w:t>
            </w:r>
          </w:p>
        </w:tc>
      </w:tr>
      <w:tr>
        <w:tc>
          <w:tcPr>
            <w:tcW w:type="dxa" w:w="2808"/>
          </w:tcPr>
          <w:p>
            <w:r>
              <w:rPr>
                <w:sz w:val="18"/>
              </w:rPr>
              <w:t>Days with WBGT ≥31°C (sensitivity)</w:t>
            </w:r>
          </w:p>
        </w:tc>
        <w:tc>
          <w:tcPr>
            <w:tcW w:type="dxa" w:w="1080"/>
          </w:tcPr>
          <w:p>
            <w:r>
              <w:rPr>
                <w:sz w:val="18"/>
              </w:rPr>
              <w:t>days</w:t>
            </w:r>
          </w:p>
        </w:tc>
        <w:tc>
          <w:tcPr>
            <w:tcW w:type="dxa" w:w="461"/>
          </w:tcPr>
          <w:p>
            <w:r>
              <w:rPr>
                <w:sz w:val="18"/>
              </w:rPr>
              <w:t>47</w:t>
            </w:r>
          </w:p>
        </w:tc>
        <w:tc>
          <w:tcPr>
            <w:tcW w:type="dxa" w:w="835"/>
          </w:tcPr>
          <w:p>
            <w:r>
              <w:rPr>
                <w:sz w:val="18"/>
              </w:rPr>
              <w:t>28.7</w:t>
            </w:r>
          </w:p>
        </w:tc>
        <w:tc>
          <w:tcPr>
            <w:tcW w:type="dxa" w:w="792"/>
          </w:tcPr>
          <w:p>
            <w:r>
              <w:rPr>
                <w:sz w:val="18"/>
              </w:rPr>
              <w:t>10.6</w:t>
            </w:r>
          </w:p>
        </w:tc>
        <w:tc>
          <w:tcPr>
            <w:tcW w:type="dxa" w:w="792"/>
          </w:tcPr>
          <w:p>
            <w:r>
              <w:rPr>
                <w:sz w:val="18"/>
              </w:rPr>
              <w:t>6.0</w:t>
            </w:r>
          </w:p>
        </w:tc>
        <w:tc>
          <w:tcPr>
            <w:tcW w:type="dxa" w:w="893"/>
          </w:tcPr>
          <w:p>
            <w:r>
              <w:rPr>
                <w:sz w:val="18"/>
              </w:rPr>
              <w:t>26.5</w:t>
            </w:r>
          </w:p>
        </w:tc>
        <w:tc>
          <w:tcPr>
            <w:tcW w:type="dxa" w:w="936"/>
          </w:tcPr>
          <w:p>
            <w:r>
              <w:rPr>
                <w:sz w:val="18"/>
              </w:rPr>
              <w:t>61.6</w:t>
            </w:r>
          </w:p>
        </w:tc>
      </w:tr>
      <w:tr>
        <w:tc>
          <w:tcPr>
            <w:tcW w:type="dxa" w:w="2808"/>
          </w:tcPr>
          <w:p>
            <w:r>
              <w:rPr>
                <w:sz w:val="18"/>
              </w:rPr>
              <w:t>Days with WBGT ≥33°C (sensitivity)</w:t>
            </w:r>
          </w:p>
        </w:tc>
        <w:tc>
          <w:tcPr>
            <w:tcW w:type="dxa" w:w="1080"/>
          </w:tcPr>
          <w:p>
            <w:r>
              <w:rPr>
                <w:sz w:val="18"/>
              </w:rPr>
              <w:t>days</w:t>
            </w:r>
          </w:p>
        </w:tc>
        <w:tc>
          <w:tcPr>
            <w:tcW w:type="dxa" w:w="461"/>
          </w:tcPr>
          <w:p>
            <w:r>
              <w:rPr>
                <w:sz w:val="18"/>
              </w:rPr>
              <w:t>47</w:t>
            </w:r>
          </w:p>
        </w:tc>
        <w:tc>
          <w:tcPr>
            <w:tcW w:type="dxa" w:w="835"/>
          </w:tcPr>
          <w:p>
            <w:r>
              <w:rPr>
                <w:sz w:val="18"/>
              </w:rPr>
              <w:t>2.9</w:t>
            </w:r>
          </w:p>
        </w:tc>
        <w:tc>
          <w:tcPr>
            <w:tcW w:type="dxa" w:w="792"/>
          </w:tcPr>
          <w:p>
            <w:r>
              <w:rPr>
                <w:sz w:val="18"/>
              </w:rPr>
              <w:t>2.7</w:t>
            </w:r>
          </w:p>
        </w:tc>
        <w:tc>
          <w:tcPr>
            <w:tcW w:type="dxa" w:w="792"/>
          </w:tcPr>
          <w:p>
            <w:r>
              <w:rPr>
                <w:sz w:val="18"/>
              </w:rPr>
              <w:t>0.0</w:t>
            </w:r>
          </w:p>
        </w:tc>
        <w:tc>
          <w:tcPr>
            <w:tcW w:type="dxa" w:w="893"/>
          </w:tcPr>
          <w:p>
            <w:r>
              <w:rPr>
                <w:sz w:val="18"/>
              </w:rPr>
              <w:t>1.7</w:t>
            </w:r>
          </w:p>
        </w:tc>
        <w:tc>
          <w:tcPr>
            <w:tcW w:type="dxa" w:w="936"/>
          </w:tcPr>
          <w:p>
            <w:r>
              <w:rPr>
                <w:sz w:val="18"/>
              </w:rPr>
              <w:t>10.8</w:t>
            </w:r>
          </w:p>
        </w:tc>
      </w:tr>
      <w:tr>
        <w:tc>
          <w:tcPr>
            <w:tcW w:type="dxa" w:w="2808"/>
          </w:tcPr>
          <w:p>
            <w:r>
              <w:rPr>
                <w:sz w:val="18"/>
              </w:rPr>
              <w:t>Days with maximum temperature ≥35°C (descriptive only)</w:t>
            </w:r>
          </w:p>
        </w:tc>
        <w:tc>
          <w:tcPr>
            <w:tcW w:type="dxa" w:w="1080"/>
          </w:tcPr>
          <w:p>
            <w:r>
              <w:rPr>
                <w:sz w:val="18"/>
              </w:rPr>
              <w:t>days</w:t>
            </w:r>
          </w:p>
        </w:tc>
        <w:tc>
          <w:tcPr>
            <w:tcW w:type="dxa" w:w="461"/>
          </w:tcPr>
          <w:p>
            <w:r>
              <w:rPr>
                <w:sz w:val="18"/>
              </w:rPr>
              <w:t>47</w:t>
            </w:r>
          </w:p>
        </w:tc>
        <w:tc>
          <w:tcPr>
            <w:tcW w:type="dxa" w:w="835"/>
          </w:tcPr>
          <w:p>
            <w:r>
              <w:rPr>
                <w:sz w:val="18"/>
              </w:rPr>
              <w:t>17.9</w:t>
            </w:r>
          </w:p>
        </w:tc>
        <w:tc>
          <w:tcPr>
            <w:tcW w:type="dxa" w:w="792"/>
          </w:tcPr>
          <w:p>
            <w:r>
              <w:rPr>
                <w:sz w:val="18"/>
              </w:rPr>
              <w:t>12.1</w:t>
            </w:r>
          </w:p>
        </w:tc>
        <w:tc>
          <w:tcPr>
            <w:tcW w:type="dxa" w:w="792"/>
          </w:tcPr>
          <w:p>
            <w:r>
              <w:rPr>
                <w:sz w:val="18"/>
              </w:rPr>
              <w:t>0.0</w:t>
            </w:r>
          </w:p>
        </w:tc>
        <w:tc>
          <w:tcPr>
            <w:tcW w:type="dxa" w:w="893"/>
          </w:tcPr>
          <w:p>
            <w:r>
              <w:rPr>
                <w:sz w:val="18"/>
              </w:rPr>
              <w:t>17.0</w:t>
            </w:r>
          </w:p>
        </w:tc>
        <w:tc>
          <w:tcPr>
            <w:tcW w:type="dxa" w:w="936"/>
          </w:tcPr>
          <w:p>
            <w:r>
              <w:rPr>
                <w:sz w:val="18"/>
              </w:rPr>
              <w:t>44.0</w:t>
            </w:r>
          </w:p>
        </w:tc>
      </w:tr>
      <w:tr>
        <w:tc>
          <w:tcPr>
            <w:tcW w:type="dxa" w:w="2808"/>
          </w:tcPr>
          <w:p>
            <w:r>
              <w:rPr>
                <w:sz w:val="18"/>
              </w:rPr>
              <w:t>Covariate (descriptive only)</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Air conditioning prevalence</w:t>
            </w:r>
          </w:p>
        </w:tc>
        <w:tc>
          <w:tcPr>
            <w:tcW w:type="dxa" w:w="1080"/>
          </w:tcPr>
          <w:p>
            <w:r>
              <w:rPr>
                <w:sz w:val="18"/>
              </w:rPr>
              <w:t>%</w:t>
            </w:r>
          </w:p>
        </w:tc>
        <w:tc>
          <w:tcPr>
            <w:tcW w:type="dxa" w:w="461"/>
          </w:tcPr>
          <w:p>
            <w:r>
              <w:rPr>
                <w:sz w:val="18"/>
              </w:rPr>
              <w:t>47</w:t>
            </w:r>
          </w:p>
        </w:tc>
        <w:tc>
          <w:tcPr>
            <w:tcW w:type="dxa" w:w="835"/>
          </w:tcPr>
          <w:p>
            <w:r>
              <w:rPr>
                <w:sz w:val="18"/>
              </w:rPr>
              <w:t>89.7</w:t>
            </w:r>
          </w:p>
        </w:tc>
        <w:tc>
          <w:tcPr>
            <w:tcW w:type="dxa" w:w="792"/>
          </w:tcPr>
          <w:p>
            <w:r>
              <w:rPr>
                <w:sz w:val="18"/>
              </w:rPr>
              <w:t>13.6</w:t>
            </w:r>
          </w:p>
        </w:tc>
        <w:tc>
          <w:tcPr>
            <w:tcW w:type="dxa" w:w="792"/>
          </w:tcPr>
          <w:p>
            <w:r>
              <w:rPr>
                <w:sz w:val="18"/>
              </w:rPr>
              <w:t>26.6</w:t>
            </w:r>
          </w:p>
        </w:tc>
        <w:tc>
          <w:tcPr>
            <w:tcW w:type="dxa" w:w="893"/>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864"/>
        <w:gridCol w:w="1512"/>
        <w:gridCol w:w="1440"/>
        <w:gridCol w:w="1368"/>
        <w:gridCol w:w="792"/>
        <w:gridCol w:w="1008"/>
        <w:gridCol w:w="936"/>
        <w:gridCol w:w="720"/>
      </w:tblGrid>
      <w:tr>
        <w:tc>
          <w:tcPr>
            <w:tcW w:type="dxa" w:w="864"/>
          </w:tcPr>
          <w:p>
            <w:r>
              <w:rPr>
                <w:b/>
                <w:sz w:val="18"/>
              </w:rPr>
              <w:t>Model</w:t>
            </w:r>
          </w:p>
        </w:tc>
        <w:tc>
          <w:tcPr>
            <w:tcW w:type="dxa" w:w="1512"/>
          </w:tcPr>
          <w:p>
            <w:r>
              <w:rPr>
                <w:b/>
                <w:sz w:val="18"/>
              </w:rPr>
              <w:t>Added covariates</w:t>
            </w:r>
          </w:p>
        </w:tc>
        <w:tc>
          <w:tcPr>
            <w:tcW w:type="dxa" w:w="1440"/>
          </w:tcPr>
          <w:p>
            <w:r>
              <w:rPr>
                <w:b/>
                <w:sz w:val="18"/>
              </w:rPr>
              <w:t>β (95% CI)</w:t>
            </w:r>
          </w:p>
        </w:tc>
        <w:tc>
          <w:tcPr>
            <w:tcW w:type="dxa" w:w="1368"/>
          </w:tcPr>
          <w:p>
            <w:r>
              <w:rPr>
                <w:b/>
                <w:sz w:val="18"/>
              </w:rPr>
              <w:t>Standardized β (95% CI)</w:t>
            </w:r>
          </w:p>
        </w:tc>
        <w:tc>
          <w:tcPr>
            <w:tcW w:type="dxa" w:w="792"/>
          </w:tcPr>
          <w:p>
            <w:r>
              <w:rPr>
                <w:b/>
                <w:sz w:val="18"/>
              </w:rPr>
              <w:t>p</w:t>
            </w:r>
          </w:p>
        </w:tc>
        <w:tc>
          <w:tcPr>
            <w:tcW w:type="dxa" w:w="1008"/>
          </w:tcPr>
          <w:p>
            <w:r>
              <w:rPr>
                <w:b/>
                <w:sz w:val="18"/>
              </w:rPr>
              <w:t>Exposure partial R²</w:t>
            </w:r>
          </w:p>
        </w:tc>
        <w:tc>
          <w:tcPr>
            <w:tcW w:type="dxa" w:w="936"/>
          </w:tcPr>
          <w:p>
            <w:r>
              <w:rPr>
                <w:b/>
                <w:sz w:val="18"/>
              </w:rPr>
              <w:t>Adjusted R²</w:t>
            </w:r>
          </w:p>
        </w:tc>
        <w:tc>
          <w:tcPr>
            <w:tcW w:type="dxa" w:w="720"/>
          </w:tcPr>
          <w:p>
            <w:r>
              <w:rPr>
                <w:b/>
                <w:sz w:val="18"/>
              </w:rPr>
              <w:t>AICc</w:t>
            </w:r>
          </w:p>
        </w:tc>
      </w:tr>
      <w:tr>
        <w:tc>
          <w:tcPr>
            <w:tcW w:type="dxa" w:w="864"/>
          </w:tcPr>
          <w:p>
            <w:r>
              <w:rPr>
                <w:sz w:val="18"/>
              </w:rPr>
              <w:t>O-A</w:t>
            </w:r>
          </w:p>
        </w:tc>
        <w:tc>
          <w:tcPr>
            <w:tcW w:type="dxa" w:w="1512"/>
          </w:tcPr>
          <w:p>
            <w:r>
              <w:rPr>
                <w:sz w:val="18"/>
              </w:rPr>
              <w:t>Unadjusted</w:t>
            </w:r>
          </w:p>
        </w:tc>
        <w:tc>
          <w:tcPr>
            <w:tcW w:type="dxa" w:w="1440"/>
          </w:tcPr>
          <w:p>
            <w:r>
              <w:rPr>
                <w:sz w:val="18"/>
              </w:rPr>
              <w:t>656.2 (326.9, 985.6)</w:t>
            </w:r>
          </w:p>
        </w:tc>
        <w:tc>
          <w:tcPr>
            <w:tcW w:type="dxa" w:w="1368"/>
          </w:tcPr>
          <w:p>
            <w:r>
              <w:rPr>
                <w:sz w:val="18"/>
              </w:rPr>
              <w:t>0.521 (0.260, 0.783)</w:t>
            </w:r>
          </w:p>
        </w:tc>
        <w:tc>
          <w:tcPr>
            <w:tcW w:type="dxa" w:w="792"/>
          </w:tcPr>
          <w:p>
            <w:r>
              <w:rPr>
                <w:sz w:val="18"/>
              </w:rPr>
              <w:t>&lt;0.001</w:t>
            </w:r>
          </w:p>
        </w:tc>
        <w:tc>
          <w:tcPr>
            <w:tcW w:type="dxa" w:w="1008"/>
          </w:tcPr>
          <w:p>
            <w:r>
              <w:rPr>
                <w:sz w:val="18"/>
              </w:rPr>
              <w:t>0.272</w:t>
            </w:r>
          </w:p>
        </w:tc>
        <w:tc>
          <w:tcPr>
            <w:tcW w:type="dxa" w:w="936"/>
          </w:tcPr>
          <w:p>
            <w:r>
              <w:rPr>
                <w:sz w:val="18"/>
              </w:rPr>
              <w:t>0.256</w:t>
            </w:r>
          </w:p>
        </w:tc>
        <w:tc>
          <w:tcPr>
            <w:tcW w:type="dxa" w:w="720"/>
          </w:tcPr>
          <w:p>
            <w:r>
              <w:rPr>
                <w:sz w:val="18"/>
              </w:rPr>
              <w:t>853.2</w:t>
            </w:r>
          </w:p>
        </w:tc>
      </w:tr>
      <w:tr>
        <w:tc>
          <w:tcPr>
            <w:tcW w:type="dxa" w:w="864"/>
          </w:tcPr>
          <w:p>
            <w:r>
              <w:rPr>
                <w:sz w:val="18"/>
              </w:rPr>
              <w:t>O-B</w:t>
            </w:r>
          </w:p>
        </w:tc>
        <w:tc>
          <w:tcPr>
            <w:tcW w:type="dxa" w:w="1512"/>
          </w:tcPr>
          <w:p>
            <w:r>
              <w:rPr>
                <w:sz w:val="18"/>
              </w:rPr>
              <w:t>+ ageing rate</w:t>
            </w:r>
          </w:p>
        </w:tc>
        <w:tc>
          <w:tcPr>
            <w:tcW w:type="dxa" w:w="1440"/>
          </w:tcPr>
          <w:p>
            <w:r>
              <w:rPr>
                <w:sz w:val="18"/>
              </w:rPr>
              <w:t>306.1 (-71.3, 683.5)</w:t>
            </w:r>
          </w:p>
        </w:tc>
        <w:tc>
          <w:tcPr>
            <w:tcW w:type="dxa" w:w="1368"/>
          </w:tcPr>
          <w:p>
            <w:r>
              <w:rPr>
                <w:sz w:val="18"/>
              </w:rPr>
              <w:t>0.243 (-0.057, 0.543)</w:t>
            </w:r>
          </w:p>
        </w:tc>
        <w:tc>
          <w:tcPr>
            <w:tcW w:type="dxa" w:w="792"/>
          </w:tcPr>
          <w:p>
            <w:r>
              <w:rPr>
                <w:sz w:val="18"/>
              </w:rPr>
              <w:t>0.112</w:t>
            </w:r>
          </w:p>
        </w:tc>
        <w:tc>
          <w:tcPr>
            <w:tcW w:type="dxa" w:w="1008"/>
          </w:tcPr>
          <w:p>
            <w:r>
              <w:rPr>
                <w:sz w:val="18"/>
              </w:rPr>
              <w:t>0.056</w:t>
            </w:r>
          </w:p>
        </w:tc>
        <w:tc>
          <w:tcPr>
            <w:tcW w:type="dxa" w:w="936"/>
          </w:tcPr>
          <w:p>
            <w:r>
              <w:rPr>
                <w:sz w:val="18"/>
              </w:rPr>
              <w:t>0.365</w:t>
            </w:r>
          </w:p>
        </w:tc>
        <w:tc>
          <w:tcPr>
            <w:tcW w:type="dxa" w:w="720"/>
          </w:tcPr>
          <w:p>
            <w:r>
              <w:rPr>
                <w:sz w:val="18"/>
              </w:rPr>
              <w:t>847.1</w:t>
            </w:r>
          </w:p>
        </w:tc>
      </w:tr>
      <w:tr>
        <w:tc>
          <w:tcPr>
            <w:tcW w:type="dxa" w:w="864"/>
          </w:tcPr>
          <w:p>
            <w:r>
              <w:rPr>
                <w:sz w:val="18"/>
              </w:rPr>
              <w:t>O-C</w:t>
            </w:r>
          </w:p>
        </w:tc>
        <w:tc>
          <w:tcPr>
            <w:tcW w:type="dxa" w:w="1512"/>
          </w:tcPr>
          <w:p>
            <w:r>
              <w:rPr>
                <w:sz w:val="18"/>
              </w:rPr>
              <w:t>+ ageing rate + hospital beds</w:t>
            </w:r>
          </w:p>
        </w:tc>
        <w:tc>
          <w:tcPr>
            <w:tcW w:type="dxa" w:w="1440"/>
          </w:tcPr>
          <w:p>
            <w:r>
              <w:rPr>
                <w:sz w:val="18"/>
              </w:rPr>
              <w:t>94.1 (-302.4, 490.6)</w:t>
            </w:r>
          </w:p>
        </w:tc>
        <w:tc>
          <w:tcPr>
            <w:tcW w:type="dxa" w:w="1368"/>
          </w:tcPr>
          <w:p>
            <w:r>
              <w:rPr>
                <w:sz w:val="18"/>
              </w:rPr>
              <w:t>0.075 (-0.240, 0.390)</w:t>
            </w:r>
          </w:p>
        </w:tc>
        <w:tc>
          <w:tcPr>
            <w:tcW w:type="dxa" w:w="792"/>
          </w:tcPr>
          <w:p>
            <w:r>
              <w:rPr>
                <w:sz w:val="18"/>
              </w:rPr>
              <w:t>0.642</w:t>
            </w:r>
          </w:p>
        </w:tc>
        <w:tc>
          <w:tcPr>
            <w:tcW w:type="dxa" w:w="1008"/>
          </w:tcPr>
          <w:p>
            <w:r>
              <w:rPr>
                <w:sz w:val="18"/>
              </w:rPr>
              <w:t>0.004</w:t>
            </w:r>
          </w:p>
        </w:tc>
        <w:tc>
          <w:tcPr>
            <w:tcW w:type="dxa" w:w="936"/>
          </w:tcPr>
          <w:p>
            <w:r>
              <w:rPr>
                <w:sz w:val="18"/>
              </w:rPr>
              <w:t>0.386</w:t>
            </w:r>
          </w:p>
        </w:tc>
        <w:tc>
          <w:tcPr>
            <w:tcW w:type="dxa" w:w="720"/>
          </w:tcPr>
          <w:p>
            <w:r>
              <w:rPr>
                <w:sz w:val="18"/>
              </w:rPr>
              <w:t>846.9</w:t>
            </w:r>
          </w:p>
        </w:tc>
      </w:tr>
      <w:tr>
        <w:tc>
          <w:tcPr>
            <w:tcW w:type="dxa" w:w="864"/>
          </w:tcPr>
          <w:p>
            <w:r>
              <w:rPr>
                <w:sz w:val="18"/>
              </w:rPr>
              <w:t>O-D</w:t>
            </w:r>
          </w:p>
        </w:tc>
        <w:tc>
          <w:tcPr>
            <w:tcW w:type="dxa" w:w="1512"/>
          </w:tcPr>
          <w:p>
            <w:r>
              <w:rPr>
                <w:sz w:val="18"/>
              </w:rPr>
              <w:t>+ ageing rate + hospital beds + WBGT≥28d</w:t>
            </w:r>
          </w:p>
        </w:tc>
        <w:tc>
          <w:tcPr>
            <w:tcW w:type="dxa" w:w="1440"/>
          </w:tcPr>
          <w:p>
            <w:r>
              <w:rPr>
                <w:sz w:val="18"/>
              </w:rPr>
              <w:t>-9.4 (-493.9, 475.1)</w:t>
            </w:r>
          </w:p>
        </w:tc>
        <w:tc>
          <w:tcPr>
            <w:tcW w:type="dxa" w:w="1368"/>
          </w:tcPr>
          <w:p>
            <w:r>
              <w:rPr>
                <w:sz w:val="18"/>
              </w:rPr>
              <w:t>-0.007 (-0.392, 0.377)</w:t>
            </w:r>
          </w:p>
        </w:tc>
        <w:tc>
          <w:tcPr>
            <w:tcW w:type="dxa" w:w="792"/>
          </w:tcPr>
          <w:p>
            <w:r>
              <w:rPr>
                <w:sz w:val="18"/>
              </w:rPr>
              <w:t>0.970</w:t>
            </w:r>
          </w:p>
        </w:tc>
        <w:tc>
          <w:tcPr>
            <w:tcW w:type="dxa" w:w="1008"/>
          </w:tcPr>
          <w:p>
            <w:r>
              <w:rPr>
                <w:sz w:val="18"/>
              </w:rPr>
              <w:t>&lt;0.001</w:t>
            </w:r>
          </w:p>
        </w:tc>
        <w:tc>
          <w:tcPr>
            <w:tcW w:type="dxa" w:w="936"/>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N = 47 for all models. Model O-A: exposure alone. Model O-B: Model O-A + prefectural ageing rate. Model O-C: Model O-B + general hospital beds per 100,000. Model O-D: Model O-C + days with WBGT ≥28°C (each model cumulative). All confidence intervals are heteroskedasticity-consistent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