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9F24" w14:textId="4036C672" w:rsidR="00F82D81" w:rsidRDefault="000D7512" w:rsidP="000D7512">
      <w:pPr>
        <w:pStyle w:val="a4"/>
        <w:spacing w:line="360" w:lineRule="auto"/>
      </w:pPr>
      <w:del w:id="0" w:author="Author">
        <w:r>
          <w:delText>Are Heat-Health Systems Socially Blind? Social Isolation</w:delText>
        </w:r>
      </w:del>
      <w:ins w:id="1" w:author="Author">
        <w:r>
          <w:t>Population Age Structure Explains the Ecological Association Between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p>
    <w:p w14:paraId="7A5E20A2" w14:textId="77777777" w:rsidR="006168B1" w:rsidRDefault="006168B1" w:rsidP="006168B1">
      <w:pPr>
        <w:pStyle w:val="a0"/>
        <w:rPr>
          <w:lang w:eastAsia="ja-JP"/>
        </w:rPr>
      </w:pPr>
    </w:p>
    <w:p w14:paraId="0816F119"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732C0480"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7AB59A15" w14:textId="77777777" w:rsidR="006168B1" w:rsidRDefault="006168B1" w:rsidP="006168B1">
      <w:pPr>
        <w:pStyle w:val="a0"/>
        <w:ind w:left="360"/>
        <w:rPr>
          <w:lang w:eastAsia="ja-JP"/>
        </w:rPr>
      </w:pPr>
      <w:r>
        <w:rPr>
          <w:lang w:eastAsia="ja-JP"/>
        </w:rPr>
        <w:t>Fukushima, Japan</w:t>
      </w:r>
    </w:p>
    <w:p w14:paraId="23E513F0"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263A9EDA" w14:textId="77777777" w:rsidR="006168B1" w:rsidRDefault="006168B1" w:rsidP="006168B1">
      <w:pPr>
        <w:pStyle w:val="a0"/>
        <w:ind w:left="360"/>
        <w:rPr>
          <w:lang w:eastAsia="ja-JP"/>
        </w:rPr>
      </w:pPr>
      <w:r>
        <w:rPr>
          <w:lang w:eastAsia="ja-JP"/>
        </w:rPr>
        <w:t>Fukushima Medical University, Fukushima, Japan</w:t>
      </w:r>
    </w:p>
    <w:p w14:paraId="31ECE1AB" w14:textId="77777777" w:rsidR="006168B1" w:rsidRPr="006168B1" w:rsidRDefault="006168B1" w:rsidP="006168B1">
      <w:pPr>
        <w:pStyle w:val="a0"/>
        <w:rPr>
          <w:lang w:eastAsia="ja-JP"/>
        </w:rPr>
      </w:pPr>
      <w:r>
        <w:rPr>
          <w:lang w:eastAsia="ja-JP"/>
        </w:rPr>
        <w:t>*Corresponding author. Email: m211039@fmu.ac.jp</w:t>
      </w:r>
    </w:p>
    <w:p w14:paraId="679A3A1B" w14:textId="77777777" w:rsidR="00F82D81" w:rsidRDefault="00291DF5" w:rsidP="000D7512">
      <w:pPr>
        <w:spacing w:line="360" w:lineRule="auto"/>
      </w:pPr>
      <w:r>
        <w:pict w14:anchorId="715EA0A1">
          <v:rect id="_x0000_i1026" style="width:0;height:1.5pt" o:hralign="center" o:bullet="t" o:hrstd="t" o:hr="t"/>
        </w:pict>
      </w:r>
    </w:p>
    <w:p w14:paraId="22B4079C" w14:textId="77777777" w:rsidR="00244DDC" w:rsidRDefault="00244DDC" w:rsidP="000D7512">
      <w:pPr>
        <w:spacing w:line="360" w:lineRule="auto"/>
        <w:rPr>
          <w:lang w:eastAsia="ja-JP"/>
        </w:rPr>
      </w:pPr>
    </w:p>
    <w:p w14:paraId="6F94B16D" w14:textId="77777777" w:rsidR="00244DDC" w:rsidRDefault="00244DDC" w:rsidP="000D7512">
      <w:pPr>
        <w:spacing w:line="360" w:lineRule="auto"/>
        <w:rPr>
          <w:lang w:eastAsia="ja-JP"/>
        </w:rPr>
      </w:pPr>
    </w:p>
    <w:p w14:paraId="3667A6EC" w14:textId="77777777" w:rsidR="00244DDC" w:rsidRDefault="00244DDC" w:rsidP="000D7512">
      <w:pPr>
        <w:spacing w:line="360" w:lineRule="auto"/>
        <w:rPr>
          <w:lang w:eastAsia="ja-JP"/>
        </w:rPr>
      </w:pPr>
    </w:p>
    <w:p w14:paraId="417B7D2F" w14:textId="77777777" w:rsidR="00F82D81" w:rsidRDefault="000D7512" w:rsidP="000D7512">
      <w:pPr>
        <w:pStyle w:val="1"/>
        <w:spacing w:line="360" w:lineRule="auto"/>
      </w:pPr>
      <w:r>
        <w:t>Abstract</w:t>
      </w:r>
    </w:p>
    <w:p w14:paraId="397E388F" w14:textId="77777777" w:rsidR="00F82D81" w:rsidRDefault="000D7512" w:rsidP="000D7512">
      <w:pPr>
        <w:pStyle w:val="2"/>
        <w:spacing w:line="360" w:lineRule="auto"/>
      </w:pPr>
      <w:bookmarkStart w:id="6" w:name="background"/>
      <w:r>
        <w:t>Background</w:t>
      </w:r>
    </w:p>
    <w:p w14:paraId="3A4CA08A" w14:textId="3DA37986" w:rsidR="00F82D81" w:rsidRDefault="000D7512" w:rsidP="000D7512">
      <w:pPr>
        <w:pStyle w:val="FirstParagraph"/>
        <w:spacing w:line="360" w:lineRule="auto"/>
      </w:pPr>
      <w:del w:id="7"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8" w:author="Author">
        <w:r>
          <w:delText>face additional risk through limited</w:delText>
        </w:r>
      </w:del>
      <w:ins w:id="9" w:author="Author">
        <w:r>
          <w:t>are often considered vulnerable to heat because of reduced informal</w:t>
        </w:r>
      </w:ins>
      <w:r>
        <w:t xml:space="preserve"> monitoring, delayed help-seeking, and barriers to cooling. </w:t>
      </w:r>
      <w:del w:id="10" w:author="Author">
        <w:r>
          <w:delText>We examined whether prefectural</w:delText>
        </w:r>
      </w:del>
      <w:ins w:id="11" w:author="Author">
        <w:r>
          <w:t>Prefecture</w:t>
        </w:r>
      </w:ins>
      <w:r>
        <w:t xml:space="preserve">-level </w:t>
      </w:r>
      <w:ins w:id="12" w:author="Author">
        <w:r>
          <w:t xml:space="preserve">indicators such as </w:t>
        </w:r>
      </w:ins>
      <w:r>
        <w:t xml:space="preserve">elderly solo household rate </w:t>
      </w:r>
      <w:del w:id="13" w:author="Author">
        <w:r>
          <w:delText xml:space="preserve">— </w:delText>
        </w:r>
      </w:del>
      <w:ins w:id="14" w:author="Author">
        <w:r>
          <w:t xml:space="preserve">have been proposed as routinely available markers of this vulnerability, but such indicators may also reflect </w:t>
        </w:r>
      </w:ins>
      <w:r>
        <w:t xml:space="preserve">a </w:t>
      </w:r>
      <w:del w:id="15" w:author="Author">
        <w:r>
          <w:delText>community-level marker of social isolation — was associated with dehydration-related</w:delText>
        </w:r>
      </w:del>
      <w:ins w:id="16"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7" w:author="Author">
        <w:r>
          <w:delText>utilization</w:delText>
        </w:r>
      </w:del>
      <w:ins w:id="18" w:author="Author">
        <w:r>
          <w:t>supply, and summer heat exposure</w:t>
        </w:r>
      </w:ins>
      <w:r>
        <w:t>.</w:t>
      </w:r>
    </w:p>
    <w:p w14:paraId="28B798C3" w14:textId="77777777" w:rsidR="00F82D81" w:rsidRDefault="000D7512" w:rsidP="000D7512">
      <w:pPr>
        <w:pStyle w:val="2"/>
        <w:spacing w:line="360" w:lineRule="auto"/>
      </w:pPr>
      <w:bookmarkStart w:id="19" w:name="methods"/>
      <w:bookmarkEnd w:id="6"/>
      <w:r>
        <w:t>Methods</w:t>
      </w:r>
    </w:p>
    <w:p w14:paraId="266C4762" w14:textId="59DA6603" w:rsidR="00F82D81" w:rsidRDefault="000D7512" w:rsidP="000D7512">
      <w:pPr>
        <w:pStyle w:val="FirstParagraph"/>
        <w:spacing w:line="360" w:lineRule="auto"/>
      </w:pPr>
      <w:r>
        <w:t xml:space="preserve">We conducted an ecological study of 47 Japanese prefectures using fiscal year 2023 data. </w:t>
      </w:r>
      <w:del w:id="20" w:author="Author">
        <w:r>
          <w:delText>Infusion</w:delText>
        </w:r>
      </w:del>
      <w:ins w:id="21" w:author="Author">
        <w:r>
          <w:t>Large-volume infusion</w:t>
        </w:r>
      </w:ins>
      <w:r>
        <w:t xml:space="preserve"> therapy utilization </w:t>
      </w:r>
      <w:del w:id="22" w:author="Author">
        <w:r>
          <w:delText>(≥</w:delText>
        </w:r>
      </w:del>
      <w:ins w:id="23" w:author="Author">
        <w:r>
          <w:t>(procedure code G004, ≥</w:t>
        </w:r>
      </w:ins>
      <w:r>
        <w:t xml:space="preserve">500 mL) from the National Database (NDB) Open Data was used as </w:t>
      </w:r>
      <w:del w:id="24" w:author="Author">
        <w:r>
          <w:delText>a</w:delText>
        </w:r>
      </w:del>
      <w:ins w:id="25" w:author="Author">
        <w:r>
          <w:t>the outcome, expressed per 100,000</w:t>
        </w:r>
      </w:ins>
      <w:r>
        <w:t xml:space="preserve"> population</w:t>
      </w:r>
      <w:del w:id="26" w:author="Author">
        <w:r>
          <w:delText>-level indicator of dehydration-related healthcare utilization.</w:delText>
        </w:r>
      </w:del>
      <w:ins w:id="27" w:author="Author">
        <w:r>
          <w:t>.</w:t>
        </w:r>
      </w:ins>
      <w:r>
        <w:t xml:space="preserve"> Elderly solo household rate</w:t>
      </w:r>
      <w:ins w:id="28" w:author="Author">
        <w:r>
          <w:t xml:space="preserve">, defined as the percentage of all households </w:t>
        </w:r>
        <w:r>
          <w:lastRenderedPageBreak/>
          <w:t>consisting of one person aged ≥65 years,</w:t>
        </w:r>
      </w:ins>
      <w:r>
        <w:t xml:space="preserve"> was derived from the 2020 National Census</w:t>
      </w:r>
      <w:del w:id="29" w:author="Author">
        <w:r>
          <w:delText>. Heatwave</w:delText>
        </w:r>
      </w:del>
      <w:ins w:id="30"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1" w:author="Author">
        <w:r>
          <w:delText>and mean WBGT were calculated from Japan Meteorological Agency data for</w:delText>
        </w:r>
      </w:del>
      <w:ins w:id="32" w:author="Author">
        <w:r>
          <w:t>(≥28°C,</w:t>
        </w:r>
      </w:ins>
      <w:r>
        <w:t xml:space="preserve"> June–September 2023</w:t>
      </w:r>
      <w:del w:id="33" w:author="Author">
        <w:r>
          <w:delText>. Predictors were</w:delText>
        </w:r>
      </w:del>
      <w:ins w:id="34" w:author="Author">
        <w:r>
          <w:t>). Nonlinearity, metropolitan influence, and an alternative exposure using the older population as the denominator were also</w:t>
        </w:r>
      </w:ins>
      <w:r>
        <w:t xml:space="preserve"> examined</w:t>
      </w:r>
      <w:del w:id="35" w:author="Author">
        <w:r>
          <w:delText xml:space="preserve"> using simple linear regression and sensitivity analyses</w:delText>
        </w:r>
      </w:del>
      <w:r>
        <w:t>.</w:t>
      </w:r>
    </w:p>
    <w:p w14:paraId="22FB4C93" w14:textId="77777777" w:rsidR="00F82D81" w:rsidRDefault="000D7512" w:rsidP="000D7512">
      <w:pPr>
        <w:pStyle w:val="2"/>
        <w:spacing w:line="360" w:lineRule="auto"/>
      </w:pPr>
      <w:bookmarkStart w:id="36" w:name="results"/>
      <w:bookmarkEnd w:id="19"/>
      <w:r>
        <w:t>Results</w:t>
      </w:r>
    </w:p>
    <w:p w14:paraId="1DB5724E" w14:textId="1A5D7F4E" w:rsidR="00F82D81" w:rsidRDefault="000D7512" w:rsidP="000D7512">
      <w:pPr>
        <w:pStyle w:val="FirstParagraph"/>
        <w:spacing w:line="360" w:lineRule="auto"/>
      </w:pPr>
      <w:del w:id="37"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8" w:author="Author">
        <w:r>
          <w:t xml:space="preserve">in the unadjusted analysis </w:t>
        </w:r>
      </w:ins>
      <w:r>
        <w:t xml:space="preserve">(β = </w:t>
      </w:r>
      <w:del w:id="39" w:author="Author">
        <w:r>
          <w:delText>723.37</w:delText>
        </w:r>
      </w:del>
      <w:ins w:id="40" w:author="Author">
        <w:r>
          <w:t>656.2</w:t>
        </w:r>
      </w:ins>
      <w:r>
        <w:t xml:space="preserve">; 95% CI, </w:t>
      </w:r>
      <w:del w:id="41" w:author="Author">
        <w:r>
          <w:delText>376.52–1,070.21; R² =</w:delText>
        </w:r>
      </w:del>
      <w:ins w:id="42" w:author="Author">
        <w:r>
          <w:t>326.9–985.6; p &lt;</w:t>
        </w:r>
      </w:ins>
      <w:r>
        <w:t xml:space="preserve"> 0.</w:t>
      </w:r>
      <w:del w:id="43" w:author="Author">
        <w:r>
          <w:delText>282</w:delText>
        </w:r>
      </w:del>
      <w:ins w:id="44" w:author="Author">
        <w:r>
          <w:t>001). Adding prefectural ageing rate attenuated the estimate by 53.3% (β = 306.1; 95% CI, −71.3–683.5</w:t>
        </w:r>
      </w:ins>
      <w:r>
        <w:t>; p = 0.</w:t>
      </w:r>
      <w:del w:id="45" w:author="Author">
        <w:r>
          <w:delText>0001). The</w:delText>
        </w:r>
      </w:del>
      <w:ins w:id="46" w:author="Author">
        <w:r>
          <w:t>112), and the</w:t>
        </w:r>
      </w:ins>
      <w:r>
        <w:t xml:space="preserve"> association </w:t>
      </w:r>
      <w:del w:id="47" w:author="Author">
        <w:r>
          <w:delText>persisted in all sensitivity analyses. Heatwave frequency, WBGT, and air conditioning prevalence were not</w:delText>
        </w:r>
      </w:del>
      <w:ins w:id="48" w:author="Author">
        <w:r>
          <w:t>was no longer statistically</w:t>
        </w:r>
      </w:ins>
      <w:r>
        <w:t xml:space="preserve"> significant</w:t>
      </w:r>
      <w:del w:id="49" w:author="Author">
        <w:r>
          <w:delText xml:space="preserve"> ecological correlates.</w:delText>
        </w:r>
      </w:del>
      <w:ins w:id="50" w:author="Author">
        <w:r>
          <w:t>. Further adjustment for healthcare supply and WBGT reduced the estimate toward zero (β = −9.4; 95% CI, −493.9–475.1; p = 0.970).</w:t>
        </w:r>
      </w:ins>
    </w:p>
    <w:bookmarkEnd w:id="36"/>
    <w:p w14:paraId="54EED813" w14:textId="77777777" w:rsidR="00F82D81" w:rsidRDefault="000D7512" w:rsidP="000D7512">
      <w:pPr>
        <w:pStyle w:val="2"/>
        <w:spacing w:line="360" w:lineRule="auto"/>
      </w:pPr>
      <w:r>
        <w:t>Conclusions</w:t>
      </w:r>
    </w:p>
    <w:p w14:paraId="0FE99427" w14:textId="77777777" w:rsidR="00F82D81" w:rsidRDefault="000D7512" w:rsidP="000D7512">
      <w:pPr>
        <w:pStyle w:val="FirstParagraph"/>
        <w:spacing w:line="360" w:lineRule="auto"/>
        <w:rPr>
          <w:del w:id="51" w:author="Author"/>
        </w:rPr>
      </w:pPr>
      <w:del w:id="52" w:author="Author">
        <w:r>
          <w:delText xml:space="preserve">Community-level social isolation was the only </w:delText>
        </w:r>
        <w:r>
          <w:delText xml:space="preserve">ecological </w:delText>
        </w:r>
        <w:r w:rsidR="00296750">
          <w:rPr>
            <w:rStyle w:val="af6"/>
            <w:sz w:val="24"/>
            <w:szCs w:val="24"/>
          </w:rPr>
        </w:r>
        <w:r>
          <w:delText>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69E44484" w14:textId="77777777" w:rsidR="00F82D81" w:rsidRDefault="000D7512" w:rsidP="000D7512">
      <w:pPr>
        <w:pStyle w:val="FirstParagraph"/>
        <w:spacing w:line="360" w:lineRule="auto"/>
        <w:rPr>
          <w:ins w:id="54" w:author="Author"/>
        </w:rPr>
      </w:pPr>
      <w:ins w:id="55" w:author="Author">
        <w:r>
          <w:t>The prefectural elderly solo household rate was associated with large-volume infusion therapy utilization in the unadjusted analysis, but this association was substantially explained by prefectural population age structure and was further attenuated toward zero after additional adjustment for healthcare supply and summer heat exposure. These findings indicate that population age structure is a key driver of the apparent ecological association between elderly solo household rate and infusion therapy utilization, underscoring the importance of accounting for demographic composition when evaluating routinely available household-composition indicators for heat-health and social-vulnerability surveillance.</w:t>
        </w:r>
      </w:ins>
    </w:p>
    <w:p w14:paraId="75256034" w14:textId="3F8F21C1" w:rsidR="00F82D81" w:rsidRDefault="000D7512" w:rsidP="000D7512">
      <w:pPr>
        <w:pStyle w:val="a0"/>
        <w:spacing w:line="360" w:lineRule="auto"/>
      </w:pPr>
      <w:r>
        <w:t xml:space="preserve">Keywords: heat-health surveillance; </w:t>
      </w:r>
      <w:del w:id="56" w:author="Author">
        <w:r>
          <w:delText xml:space="preserve">social isolation; </w:delText>
        </w:r>
      </w:del>
      <w:r>
        <w:t>elderly solo household</w:t>
      </w:r>
      <w:del w:id="57" w:author="Author">
        <w:r>
          <w:delText>; dehydration</w:delText>
        </w:r>
      </w:del>
      <w:ins w:id="58" w:author="Author">
        <w:r>
          <w:t xml:space="preserve"> rate; population ageing; healthcare utilization</w:t>
        </w:r>
      </w:ins>
      <w:r>
        <w:t>; ecological study; Japan</w:t>
      </w:r>
    </w:p>
    <w:p w14:paraId="35E8AC71" w14:textId="77777777" w:rsidR="00F82D81" w:rsidRDefault="00291DF5" w:rsidP="000D7512">
      <w:pPr>
        <w:spacing w:line="360" w:lineRule="auto"/>
      </w:pPr>
      <w:r>
        <w:pict w14:anchorId="56452677">
          <v:rect id="_x0000_i1027" style="width:0;height:1.5pt" o:hralign="center" o:hrstd="t" o:hr="t"/>
        </w:pict>
      </w:r>
    </w:p>
    <w:p w14:paraId="3A2C4723" w14:textId="77777777" w:rsidR="00F82D81" w:rsidRDefault="000D7512" w:rsidP="000D7512">
      <w:pPr>
        <w:pStyle w:val="1"/>
        <w:spacing w:line="360" w:lineRule="auto"/>
      </w:pPr>
      <w:r>
        <w:t>Introduction</w:t>
      </w:r>
    </w:p>
    <w:p w14:paraId="4FB1EC9F" w14:textId="55A7CE0D"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w:t>
      </w:r>
      <w:del w:id="59" w:author="Author">
        <w:r>
          <w:delText>)</w:delText>
        </w:r>
      </w:del>
      <w:ins w:id="60" w:author="Author">
        <w:r>
          <w:t>).</w:t>
        </w:r>
      </w:ins>
      <w:r>
        <w:t xml:space="preserve"> Climate change, population </w:t>
      </w:r>
      <w:del w:id="61" w:author="Author">
        <w:r>
          <w:delText>aging</w:delText>
        </w:r>
      </w:del>
      <w:ins w:id="62" w:author="Author">
        <w:r>
          <w:t>ageing</w:t>
        </w:r>
      </w:ins>
      <w:r>
        <w:t>, and urbanization are expected to increase this burden (IPCC 2021; Günsche et al. 2026</w:t>
      </w:r>
      <w:del w:id="63" w:author="Author">
        <w:r>
          <w:delText>)</w:delText>
        </w:r>
      </w:del>
      <w:ins w:id="64" w:author="Author">
        <w:r>
          <w:t>).</w:t>
        </w:r>
      </w:ins>
    </w:p>
    <w:p w14:paraId="77CF609B" w14:textId="377EC9E3"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w:t>
      </w:r>
      <w:del w:id="65" w:author="Author">
        <w:r>
          <w:delText>)</w:delText>
        </w:r>
      </w:del>
      <w:ins w:id="66" w:author="Author">
        <w:r>
          <w:t>),</w:t>
        </w:r>
      </w:ins>
      <w:r>
        <w:t xml:space="preserve"> and Japan has implemented WBGT forecasting and heat alert systems (Ministry of the Environment Japan n.d</w:t>
      </w:r>
      <w:del w:id="67" w:author="Author">
        <w:r>
          <w:delText>.)</w:delText>
        </w:r>
      </w:del>
      <w:ins w:id="68" w:author="Author">
        <w:r>
          <w:t>.).</w:t>
        </w:r>
      </w:ins>
      <w:r>
        <w:t xml:space="preserve"> These systems are essential, but they primarily describe environmental hazard</w:t>
      </w:r>
      <w:del w:id="69" w:author="Author">
        <w:r>
          <w:delText>. They</w:delText>
        </w:r>
      </w:del>
      <w:ins w:id="70" w:author="Author">
        <w:r>
          <w:t xml:space="preserve"> and</w:t>
        </w:r>
      </w:ins>
      <w:r>
        <w:t xml:space="preserve"> do not </w:t>
      </w:r>
      <w:del w:id="71" w:author="Author">
        <w:r>
          <w:delText>necessarily</w:delText>
        </w:r>
      </w:del>
      <w:ins w:id="72" w:author="Author">
        <w:r>
          <w:t>by themselves</w:t>
        </w:r>
      </w:ins>
      <w:r>
        <w:t xml:space="preserve"> identify </w:t>
      </w:r>
      <w:del w:id="73" w:author="Author">
        <w:r>
          <w:delText>communities</w:delText>
        </w:r>
      </w:del>
      <w:ins w:id="74" w:author="Author">
        <w:r>
          <w:t>which populations may be</w:t>
        </w:r>
      </w:ins>
      <w:r>
        <w:t xml:space="preserve"> least able to receive warnings, act on them, or obtain timely assistance.</w:t>
      </w:r>
    </w:p>
    <w:p w14:paraId="69BA1A22" w14:textId="32610235" w:rsidR="00F82D81" w:rsidRDefault="000D7512" w:rsidP="000D7512">
      <w:pPr>
        <w:pStyle w:val="a0"/>
        <w:spacing w:line="360" w:lineRule="auto"/>
      </w:pPr>
      <w:del w:id="75" w:author="Author">
        <w:r>
          <w:delText>Heat risk is produced by both environmental exposure and social vulnerability. Older adults are physiologically vulnerable to heat because of</w:delText>
        </w:r>
      </w:del>
      <w:ins w:id="76"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77" w:author="Author">
        <w:r>
          <w:delText xml:space="preserve">) Among older adults, those living alone may face additional risk through </w:delText>
        </w:r>
        <w:r>
          <w:delText>limited informal monitoring</w:delText>
        </w:r>
        <w:r w:rsidR="0001555C">
          <w:rPr>
            <w:rStyle w:val="af6"/>
            <w:sz w:val="24"/>
            <w:szCs w:val="24"/>
          </w:rPr>
        </w:r>
        <w:r>
          <w:delText>, economic barriers to cooling, delayed help-seeking, and reduced access to heat-health information (</w:delText>
        </w:r>
      </w:del>
      <w:ins w:id="79" w:author="Author">
        <w:r>
          <w:t xml:space="preserve">; </w:t>
        </w:r>
      </w:ins>
      <w:r>
        <w:t>Vandentorren et al. 2006; Canouï-Poitrine et al. 2006; MIC 2015; Farbotko and Waitt 2011; Semenza et al. 1996; Naughton et al. 2002; Oberai et al. 2025; Zhang et al. 2025</w:t>
      </w:r>
      <w:del w:id="80" w:author="Author">
        <w:r>
          <w:delText>)</w:delText>
        </w:r>
      </w:del>
      <w:ins w:id="81"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2389860F" w14:textId="15669807" w:rsidR="00F82D81" w:rsidRDefault="000D7512" w:rsidP="000D7512">
      <w:pPr>
        <w:pStyle w:val="a0"/>
        <w:spacing w:line="360" w:lineRule="auto"/>
      </w:pPr>
      <w:del w:id="82"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83" w:author="Author">
        <w:r>
          <w:delText>)</w:delText>
        </w:r>
      </w:del>
      <w:ins w:id="84" w:author="Author">
        <w:r>
          <w:t>),</w:t>
        </w:r>
      </w:ins>
      <w:r>
        <w:t xml:space="preserve"> but nationwide ecological evidence linking </w:t>
      </w:r>
      <w:del w:id="85" w:author="Author">
        <w:r>
          <w:delText xml:space="preserve">social isolation </w:delText>
        </w:r>
      </w:del>
      <w:ins w:id="86" w:author="Author">
        <w:r>
          <w:t xml:space="preserve">elderly solo household rate </w:t>
        </w:r>
      </w:ins>
      <w:r>
        <w:t xml:space="preserve">to </w:t>
      </w:r>
      <w:del w:id="87" w:author="Author">
        <w:r>
          <w:delText>dehydration-related</w:delText>
        </w:r>
      </w:del>
      <w:ins w:id="88" w:author="Author">
        <w:r>
          <w:t>large-volume infusion therapy utilization, and on whether such an association is independent of population age structure,</w:t>
        </w:r>
      </w:ins>
      <w:r>
        <w:t xml:space="preserve"> healthcare </w:t>
      </w:r>
      <w:del w:id="89" w:author="Author">
        <w:r>
          <w:delText>utilization</w:delText>
        </w:r>
      </w:del>
      <w:ins w:id="90" w:author="Author">
        <w:r>
          <w:t>supply, and heat exposure,</w:t>
        </w:r>
      </w:ins>
      <w:r>
        <w:t xml:space="preserve"> is limited. We therefore examined whether elderly solo household rate </w:t>
      </w:r>
      <w:del w:id="91" w:author="Author">
        <w:r>
          <w:delText>could serve as a practical social vulnerability layer complementing climatic indicators in heat-health surveillance</w:delText>
        </w:r>
      </w:del>
      <w:ins w:id="92" w:author="Author">
        <w:r>
          <w:t>was associated with large-volume infusion therapy utilization, and the extent to which this association remained after accounting for prefectural ageing rate, healthcare supply, and official heat-exposure measures</w:t>
        </w:r>
      </w:ins>
      <w:r>
        <w:t>.</w:t>
      </w:r>
    </w:p>
    <w:p w14:paraId="6DE8C304" w14:textId="77777777" w:rsidR="00F82D81" w:rsidRDefault="00291DF5" w:rsidP="000D7512">
      <w:pPr>
        <w:spacing w:line="360" w:lineRule="auto"/>
      </w:pPr>
      <w:r>
        <w:pict w14:anchorId="35E18550">
          <v:rect id="_x0000_i1028" style="width:0;height:1.5pt" o:hralign="center" o:hrstd="t" o:hr="t"/>
        </w:pict>
      </w:r>
    </w:p>
    <w:p w14:paraId="158E5AEE" w14:textId="77777777" w:rsidR="00F82D81" w:rsidRDefault="000D7512" w:rsidP="000D7512">
      <w:pPr>
        <w:pStyle w:val="1"/>
        <w:spacing w:line="360" w:lineRule="auto"/>
      </w:pPr>
      <w:r>
        <w:t>Materials and methods</w:t>
      </w:r>
    </w:p>
    <w:p w14:paraId="11431449" w14:textId="77777777" w:rsidR="00F82D81" w:rsidRDefault="000D7512" w:rsidP="000D7512">
      <w:pPr>
        <w:pStyle w:val="2"/>
        <w:spacing w:line="360" w:lineRule="auto"/>
      </w:pPr>
      <w:bookmarkStart w:id="93" w:name="study-design"/>
      <w:r>
        <w:t>1. Study Design</w:t>
      </w:r>
    </w:p>
    <w:p w14:paraId="556DF45C" w14:textId="4340900A" w:rsidR="00F82D81" w:rsidRDefault="000D7512" w:rsidP="000D7512">
      <w:pPr>
        <w:pStyle w:val="FirstParagraph"/>
        <w:spacing w:line="360" w:lineRule="auto"/>
      </w:pPr>
      <w:r>
        <w:t>We conducted a nationwide ecological study using Japanese prefectures (N = 47) as the unit of analysis</w:t>
      </w:r>
      <w:del w:id="94" w:author="Author">
        <w:r>
          <w:delText>.</w:delText>
        </w:r>
      </w:del>
      <w:ins w:id="95"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96" w:author="Author">
        <w:r>
          <w:delText>is</w:delText>
        </w:r>
      </w:del>
      <w:ins w:id="97" w:author="Author">
        <w:r>
          <w:t>are</w:t>
        </w:r>
      </w:ins>
      <w:r>
        <w:t xml:space="preserve"> not available from NDB Open Data. The study period was fiscal year 2023 (April 2023 through March 2024); </w:t>
      </w:r>
      <w:del w:id="98" w:author="Author">
        <w:r>
          <w:delText>climatic exposures were</w:delText>
        </w:r>
      </w:del>
      <w:ins w:id="99" w:author="Author">
        <w:r>
          <w:t>heat exposure was</w:t>
        </w:r>
      </w:ins>
      <w:r>
        <w:t xml:space="preserve"> measured </w:t>
      </w:r>
      <w:del w:id="100" w:author="Author">
        <w:r w:rsidR="009158AB">
          <w:delText xml:space="preserve">at </w:delText>
        </w:r>
        <w:r w:rsidR="009158AB">
          <w:delText>government meteorological stations</w:delText>
        </w:r>
        <w:r w:rsidR="009158AB">
          <w:rPr>
            <w:rStyle w:val="af6"/>
            <w:sz w:val="24"/>
            <w:szCs w:val="24"/>
          </w:rPr>
        </w:r>
        <w:r>
          <w:delText xml:space="preserve"> </w:delText>
        </w:r>
      </w:del>
      <w:ins w:id="102" w:author="Author">
        <w:r>
          <w:t xml:space="preserve">using official Ministry of the Environment wet-bulb globe temperature (WBGT) monitoring-site observations </w:t>
        </w:r>
      </w:ins>
      <w:r>
        <w:t xml:space="preserve">during the </w:t>
      </w:r>
      <w:r>
        <w:t>summer season (June–September 2023</w:t>
      </w:r>
      <w:del w:id="104" w:author="Author">
        <w:r>
          <w:delText>)</w:delText>
        </w:r>
        <w:r w:rsidR="00655DBA">
          <w:rPr>
            <w:rStyle w:val="af6"/>
            <w:sz w:val="24"/>
            <w:szCs w:val="24"/>
          </w:rPr>
        </w:r>
        <w:r>
          <w:delText>.</w:delText>
        </w:r>
      </w:del>
      <w:ins w:id="105" w:author="Author">
        <w:r>
          <w:t>), an unusually hot summer at the time of data collection (Japan Meteorological Agency 2023).</w:t>
        </w:r>
      </w:ins>
    </w:p>
    <w:p w14:paraId="76443DF8" w14:textId="77777777" w:rsidR="00F82D81" w:rsidRDefault="000D7512" w:rsidP="000D7512">
      <w:pPr>
        <w:pStyle w:val="2"/>
        <w:spacing w:line="360" w:lineRule="auto"/>
      </w:pPr>
      <w:bookmarkStart w:id="106" w:name="outcome-infusion-therapy-utilization"/>
      <w:bookmarkEnd w:id="93"/>
      <w:r>
        <w:t>2. Outcome:</w:t>
      </w:r>
      <w:ins w:id="107" w:author="Author">
        <w:r>
          <w:t xml:space="preserve"> Large-Volume</w:t>
        </w:r>
      </w:ins>
      <w:r>
        <w:t xml:space="preserve"> Infusion Therapy Utilization</w:t>
      </w:r>
    </w:p>
    <w:p w14:paraId="330A370D" w14:textId="3F450A41"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108"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109"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110" w:author="Author">
        <w:r>
          <w:delText xml:space="preserve">rate </w:delText>
        </w:r>
      </w:del>
      <w:r>
        <w:t xml:space="preserve">and the summer 2023 heatstroke ambulance transport rate </w:t>
      </w:r>
      <w:del w:id="111" w:author="Author">
        <w:r>
          <w:delText xml:space="preserve">derived </w:delText>
        </w:r>
      </w:del>
      <w:r>
        <w:t>from the Fire and Disaster Management Agency (FDMA) daily transport report (</w:t>
      </w:r>
      <w:del w:id="112" w:author="Author">
        <w:r>
          <w:delText>Online Resource 1, panel a) (</w:delText>
        </w:r>
      </w:del>
      <w:r>
        <w:t>Fire and Disaster Management Agency 2023</w:t>
      </w:r>
      <w:del w:id="113" w:author="Author">
        <w:r>
          <w:delText>)</w:delText>
        </w:r>
      </w:del>
      <w:ins w:id="114" w:author="Author">
        <w:r>
          <w:t>); this provides limited support for the presence of a heat-related component in the outcome rather than validating it as a direct heat-illness measure.</w:t>
        </w:r>
      </w:ins>
    </w:p>
    <w:p w14:paraId="29EEAD30" w14:textId="77777777" w:rsidR="00F82D81" w:rsidRDefault="000D7512" w:rsidP="000D7512">
      <w:pPr>
        <w:pStyle w:val="2"/>
        <w:spacing w:line="360" w:lineRule="auto"/>
      </w:pPr>
      <w:bookmarkStart w:id="115" w:name="exposure-elderly-solo-household-rate"/>
      <w:bookmarkEnd w:id="106"/>
      <w:r>
        <w:t>3. Exposure: Elderly Solo Household Rate</w:t>
      </w:r>
    </w:p>
    <w:p w14:paraId="4476DE82" w14:textId="56A72CF0"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16" w:author="Author">
        <w:r>
          <w:delText>This measure was interpreted as a community-level marker of social isolation.</w:delText>
        </w:r>
      </w:del>
      <w:ins w:id="117"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1F42F36D" w14:textId="77777777" w:rsidR="00F82D81" w:rsidRDefault="000D7512" w:rsidP="000D7512">
      <w:pPr>
        <w:pStyle w:val="2"/>
        <w:spacing w:line="360" w:lineRule="auto"/>
      </w:pPr>
      <w:bookmarkStart w:id="118" w:name="climatic-covariates"/>
      <w:bookmarkEnd w:id="115"/>
      <w:r>
        <w:t>4. Climatic Covariates</w:t>
      </w:r>
    </w:p>
    <w:p w14:paraId="6673DE68" w14:textId="77777777" w:rsidR="00F82D81" w:rsidRDefault="000D7512" w:rsidP="000D7512">
      <w:pPr>
        <w:pStyle w:val="FirstParagraph"/>
        <w:spacing w:line="360" w:lineRule="auto"/>
        <w:rPr>
          <w:del w:id="119" w:author="Author"/>
        </w:rPr>
      </w:pPr>
      <w:del w:id="121" w:author="Author">
        <w:r>
          <w:delText>Heatwave exposure was defined as the number of days with maximum temperature ≥35°C during June–September 2023, averaged across Japan Meteorological Agency (JMA) weather stations within each prefecture.</w:delText>
        </w:r>
        <w:r w:rsidR="009957E1">
          <w:rPr>
            <w:rStyle w:val="af6"/>
            <w:sz w:val="24"/>
            <w:szCs w:val="24"/>
          </w:rPr>
        </w:r>
        <w:r>
          <w:delText xml:space="preserve"> Mean WBGT was estimated from daily mean temperature (T, °C) and relative humidity (RH, %) using a simplified approximation: wet-bulb temperature Tw = T − (100 − RH)/5; WBGT = 0.7 × Tw + 0.3 × T, averaged over all JMA stations and the summer season (June–September 2023) (</w:delText>
        </w:r>
        <w:r>
          <w:delText>Patel et al. 2013; Liljegren et al. 2008</w:delText>
        </w:r>
        <w:r w:rsidR="009F2533">
          <w:rPr>
            <w:rStyle w:val="af6"/>
            <w:sz w:val="24"/>
            <w:szCs w:val="24"/>
          </w:rPr>
        </w:r>
        <w:r>
          <w:delText xml:space="preserve">)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w:delText>
        </w:r>
        <w:r>
          <w:delText>rapid-change days, defined as the number of days on which the day-to-day change in daily maximum temperature exceeded 5°C.</w:delText>
        </w:r>
        <w:r w:rsidR="00F156CA">
          <w:rPr>
            <w:rStyle w:val="af6"/>
            <w:sz w:val="24"/>
            <w:szCs w:val="24"/>
          </w:rPr>
        </w:r>
        <w:r>
          <w:delText xml:space="preserve"> These four variables were examined in univariate regression against infusion therapy utilization and results are presented in Table 2.</w:delText>
        </w:r>
      </w:del>
    </w:p>
    <w:p w14:paraId="06283937" w14:textId="77777777" w:rsidR="00F82D81" w:rsidRDefault="000D7512" w:rsidP="000D7512">
      <w:pPr>
        <w:pStyle w:val="2"/>
        <w:spacing w:line="360" w:lineRule="auto"/>
        <w:rPr>
          <w:del w:id="124" w:author="Author"/>
        </w:rPr>
      </w:pPr>
      <w:del w:id="125" w:author="Author">
        <w:r>
          <w:delText>5. Additional Covariates</w:delText>
        </w:r>
      </w:del>
    </w:p>
    <w:p w14:paraId="66815A09" w14:textId="77777777" w:rsidR="00F82D81" w:rsidRDefault="000D7512" w:rsidP="000D7512">
      <w:pPr>
        <w:pStyle w:val="FirstParagraph"/>
        <w:spacing w:line="360" w:lineRule="auto"/>
        <w:rPr>
          <w:ins w:id="126" w:author="Author"/>
        </w:rPr>
      </w:pPr>
      <w:ins w:id="127"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0B680961" w14:textId="77777777" w:rsidR="00F82D81" w:rsidRDefault="000D7512" w:rsidP="000D7512">
      <w:pPr>
        <w:pStyle w:val="2"/>
        <w:spacing w:line="360" w:lineRule="auto"/>
        <w:rPr>
          <w:ins w:id="128" w:author="Author"/>
        </w:rPr>
      </w:pPr>
      <w:bookmarkStart w:id="129" w:name="additional-covariates"/>
      <w:bookmarkEnd w:id="118"/>
      <w:ins w:id="130" w:author="Author">
        <w:r>
          <w:t>5. Prefectural Ageing Rate and Healthcare Supply</w:t>
        </w:r>
      </w:ins>
    </w:p>
    <w:p w14:paraId="313C7640" w14:textId="076A5149" w:rsidR="00F82D81" w:rsidRDefault="000D7512" w:rsidP="000D7512">
      <w:pPr>
        <w:pStyle w:val="FirstParagraph"/>
        <w:spacing w:line="360" w:lineRule="auto"/>
      </w:pPr>
      <w:ins w:id="131"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r>
        <w:t xml:space="preserve">Air conditioning prevalence (proportion of households owning at least one air conditioning unit, </w:t>
      </w:r>
      <w:del w:id="133" w:author="Author">
        <w:r>
          <w:delText>%) was</w:delText>
        </w:r>
      </w:del>
      <w:ins w:id="134" w:author="Author">
        <w:r>
          <w:t>%),</w:t>
        </w:r>
      </w:ins>
      <w:r>
        <w:t xml:space="preserve"> obtained from the 2014 National Survey of Family Income and Expenditure</w:t>
      </w:r>
      <w:del w:id="135" w:author="Author">
        <w:r>
          <w:delText>.</w:delText>
        </w:r>
        <w:r w:rsidR="001D7459">
          <w:rPr>
            <w:rStyle w:val="af6"/>
            <w:sz w:val="24"/>
            <w:szCs w:val="24"/>
          </w:rPr>
        </w:r>
        <w:r>
          <w:delText xml:space="preserve"> </w:delText>
        </w:r>
        <w:r>
          <w:delText xml:space="preserve">Aging rate </w:delText>
        </w:r>
        <w:r w:rsidR="001D7459">
          <w:rPr>
            <w:rStyle w:val="af6"/>
            <w:sz w:val="24"/>
            <w:szCs w:val="24"/>
          </w:rPr>
        </w:r>
        <w:r>
          <w:delText xml:space="preserve">(proportion of individuals aged ≥65 years) was not available in the analysis dataset and </w:delText>
        </w:r>
      </w:del>
      <w:ins w:id="137" w:author="Author">
        <w:r>
          <w:t xml:space="preserve">, is retained for descriptive purposes (Table 1) but </w:t>
        </w:r>
      </w:ins>
      <w:r>
        <w:t xml:space="preserve">was </w:t>
      </w:r>
      <w:del w:id="138" w:author="Author">
        <w:r>
          <w:delText xml:space="preserve">therefore </w:delText>
        </w:r>
      </w:del>
      <w:r>
        <w:t>not included</w:t>
      </w:r>
      <w:ins w:id="139" w:author="Author">
        <w:r>
          <w:t xml:space="preserve"> in the primary adjusted models, because these data describe ownership rather than use</w:t>
        </w:r>
      </w:ins>
      <w:r>
        <w:t>.</w:t>
      </w:r>
    </w:p>
    <w:p w14:paraId="77914EF0" w14:textId="77777777" w:rsidR="00F82D81" w:rsidRDefault="000D7512" w:rsidP="000D7512">
      <w:pPr>
        <w:pStyle w:val="2"/>
        <w:spacing w:line="360" w:lineRule="auto"/>
      </w:pPr>
      <w:bookmarkStart w:id="140" w:name="statistical-analysis"/>
      <w:bookmarkEnd w:id="129"/>
      <w:r>
        <w:t>6. Statistical Analysis</w:t>
      </w:r>
    </w:p>
    <w:p w14:paraId="14BD0157" w14:textId="77777777" w:rsidR="00F82D81" w:rsidRDefault="000D7512" w:rsidP="000D7512">
      <w:pPr>
        <w:pStyle w:val="FirstParagraph"/>
        <w:spacing w:line="360" w:lineRule="auto"/>
        <w:rPr>
          <w:del w:id="141" w:author="Author"/>
        </w:rPr>
      </w:pPr>
      <w:del w:id="142" w:author="Author">
        <w:r>
          <w:delText xml:space="preserve">We summarized all variables using means, standard deviations, medians, and ranges. Given substantial collinearity among ecological predictors (variance inflation factor &gt;10 in preliminary multivariable models), each factor was examined separately using </w:delText>
        </w:r>
        <w:r>
          <w:delText>simple linear regression with infusion therapy utilization as the outcome.</w:delText>
        </w:r>
        <w:r w:rsidR="00E1694F">
          <w:rPr>
            <w:rStyle w:val="af6"/>
            <w:sz w:val="24"/>
            <w:szCs w:val="24"/>
          </w:rPr>
        </w:r>
        <w:r>
          <w:delText xml:space="preserve"> This approach estimated policy-interpretable population-level associations rather than a predictive multivariable model.</w:delText>
        </w:r>
        <w:r w:rsidR="004B4899">
          <w:rPr>
            <w:rStyle w:val="af6"/>
            <w:sz w:val="24"/>
            <w:szCs w:val="24"/>
          </w:rPr>
        </w:r>
      </w:del>
    </w:p>
    <w:p w14:paraId="31E91357" w14:textId="77777777" w:rsidR="00F82D81" w:rsidRDefault="000D7512" w:rsidP="000D7512">
      <w:pPr>
        <w:pStyle w:val="a0"/>
        <w:spacing w:line="360" w:lineRule="auto"/>
        <w:rPr>
          <w:del w:id="145" w:author="Author"/>
        </w:rPr>
      </w:pPr>
      <w:del w:id="146"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w:delText>
        </w:r>
        <w:r>
          <w:delText>4/N (N = 47 = 0.085)</w:delText>
        </w:r>
        <w:r w:rsidR="00B11B08">
          <w:rPr>
            <w:rStyle w:val="af6"/>
            <w:sz w:val="24"/>
            <w:szCs w:val="24"/>
          </w:rPr>
        </w:r>
        <w:r>
          <w:delText xml:space="preserve">.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1C8E374A" w14:textId="77777777" w:rsidR="00F82D81" w:rsidRDefault="000D7512" w:rsidP="000D7512">
      <w:pPr>
        <w:pStyle w:val="FirstParagraph"/>
        <w:spacing w:line="360" w:lineRule="auto"/>
        <w:rPr>
          <w:ins w:id="148" w:author="Author"/>
        </w:rPr>
      </w:pPr>
      <w:ins w:id="149" w:author="Autho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16EBCD27" w14:textId="77777777" w:rsidR="00F82D81" w:rsidRDefault="000D7512" w:rsidP="000D7512">
      <w:pPr>
        <w:pStyle w:val="a0"/>
        <w:spacing w:line="360" w:lineRule="auto"/>
        <w:rPr>
          <w:ins w:id="150" w:author="Author"/>
        </w:rPr>
      </w:pPr>
      <w:ins w:id="151"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6F2A1EA4" w14:textId="5CA300DD" w:rsidR="00F82D81" w:rsidRDefault="000D7512" w:rsidP="000D7512">
      <w:pPr>
        <w:pStyle w:val="a0"/>
        <w:spacing w:line="360" w:lineRule="auto"/>
      </w:pPr>
      <w:r>
        <w:t>Regression coefficients (β), 95% confidence intervals (CIs), R², adjusted R², and p-values are reported</w:t>
      </w:r>
      <w:del w:id="152" w:author="Author">
        <w:r>
          <w:delText>.</w:delText>
        </w:r>
      </w:del>
      <w:ins w:id="153" w:author="Author">
        <w:r>
          <w:t>, together with regression diagnostics (residuals, leverage, Cook's distance, DFBETAs) for the fully adjusted model.</w:t>
        </w:r>
      </w:ins>
      <w:r>
        <w:t xml:space="preserve"> Statistical significance was defined as two-sided p &lt; 0.05</w:t>
      </w:r>
      <w:del w:id="154" w:author="Author">
        <w:r>
          <w:delText>.</w:delText>
        </w:r>
      </w:del>
      <w:ins w:id="155" w:author="Author">
        <w:r>
          <w:t>, interpreted alongside effect estimates and confidence intervals rather than significance alone.</w:t>
        </w:r>
      </w:ins>
      <w:r>
        <w:t xml:space="preserve"> Analyses were performed using Python (version 3.14), statsmodels (version 0.14), </w:t>
      </w:r>
      <w:ins w:id="156" w:author="Author">
        <w:r>
          <w:t xml:space="preserve">scikit-learn, </w:t>
        </w:r>
      </w:ins>
      <w:r>
        <w:t>and matplotlib.</w:t>
      </w:r>
    </w:p>
    <w:p w14:paraId="3DE672BD"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4CCC8B8F" w14:textId="77777777" w:rsidR="00F82D81" w:rsidRDefault="00291DF5" w:rsidP="000D7512">
      <w:pPr>
        <w:spacing w:line="360" w:lineRule="auto"/>
      </w:pPr>
      <w:r>
        <w:pict w14:anchorId="27C41EFD">
          <v:rect id="_x0000_i1029" style="width:0;height:1.5pt" o:hralign="center" o:hrstd="t" o:hr="t"/>
        </w:pict>
      </w:r>
    </w:p>
    <w:p w14:paraId="5E12D10D" w14:textId="77777777" w:rsidR="00F82D81" w:rsidRDefault="000D7512" w:rsidP="000D7512">
      <w:pPr>
        <w:pStyle w:val="1"/>
        <w:spacing w:line="360" w:lineRule="auto"/>
      </w:pPr>
      <w:bookmarkStart w:id="157" w:name="results-1"/>
      <w:bookmarkEnd w:id="140"/>
      <w:r>
        <w:t>Results</w:t>
      </w:r>
    </w:p>
    <w:p w14:paraId="12EAD357" w14:textId="77777777" w:rsidR="00F82D81" w:rsidRDefault="000D7512" w:rsidP="000D7512">
      <w:pPr>
        <w:pStyle w:val="2"/>
        <w:spacing w:line="360" w:lineRule="auto"/>
      </w:pPr>
      <w:bookmarkStart w:id="158" w:name="descriptive-statistics"/>
      <w:r>
        <w:t>1. Descriptive Statistics</w:t>
      </w:r>
    </w:p>
    <w:p w14:paraId="55BA6E7F" w14:textId="1151511F" w:rsidR="00F82D81" w:rsidRDefault="000D7512" w:rsidP="000D7512">
      <w:pPr>
        <w:pStyle w:val="FirstParagraph"/>
        <w:spacing w:line="360" w:lineRule="auto"/>
      </w:pPr>
      <w:r>
        <w:t xml:space="preserve">Across the 47 Japanese prefectures, </w:t>
      </w:r>
      <w:del w:id="159" w:author="Author">
        <w:r>
          <w:delText xml:space="preserve">the </w:delText>
        </w:r>
      </w:del>
      <w:r>
        <w:t>mean elderly solo household rate was 12.6 ± 1.9% (range</w:t>
      </w:r>
      <w:del w:id="160" w:author="Author">
        <w:r>
          <w:delText>:</w:delText>
        </w:r>
      </w:del>
      <w:r>
        <w:t xml:space="preserve"> 9.4–17.8</w:t>
      </w:r>
      <w:del w:id="161" w:author="Author">
        <w:r>
          <w:delText>%) (</w:delText>
        </w:r>
      </w:del>
      <w:ins w:id="162" w:author="Author">
        <w:r>
          <w:t xml:space="preserve">%; </w:t>
        </w:r>
      </w:ins>
      <w:r>
        <w:t xml:space="preserve">Table 1). Mean </w:t>
      </w:r>
      <w:ins w:id="163" w:author="Author">
        <w:r>
          <w:t xml:space="preserve">large-volume </w:t>
        </w:r>
      </w:ins>
      <w:r>
        <w:t>infusion therapy utilization was 8,</w:t>
      </w:r>
      <w:del w:id="164" w:author="Author">
        <w:r>
          <w:delText>434</w:delText>
        </w:r>
      </w:del>
      <w:ins w:id="165" w:author="Author">
        <w:r>
          <w:t>022</w:t>
        </w:r>
      </w:ins>
      <w:r>
        <w:t xml:space="preserve"> ± 2,</w:t>
      </w:r>
      <w:del w:id="166" w:author="Author">
        <w:r>
          <w:delText>587</w:delText>
        </w:r>
      </w:del>
      <w:ins w:id="167" w:author="Author">
        <w:r>
          <w:t>389</w:t>
        </w:r>
      </w:ins>
      <w:r>
        <w:t xml:space="preserve"> per 100,000 population (range</w:t>
      </w:r>
      <w:del w:id="168" w:author="Author">
        <w:r>
          <w:delText>:</w:delText>
        </w:r>
      </w:del>
      <w:r>
        <w:t xml:space="preserve"> 4,</w:t>
      </w:r>
      <w:del w:id="169" w:author="Author">
        <w:r>
          <w:delText>267</w:delText>
        </w:r>
      </w:del>
      <w:ins w:id="170" w:author="Author">
        <w:r>
          <w:t>231</w:t>
        </w:r>
      </w:ins>
      <w:r>
        <w:t>–13,</w:t>
      </w:r>
      <w:del w:id="171" w:author="Author">
        <w:r>
          <w:delText>697</w:delText>
        </w:r>
      </w:del>
      <w:ins w:id="172" w:author="Author">
        <w:r>
          <w:t>234</w:t>
        </w:r>
      </w:ins>
      <w:r>
        <w:t xml:space="preserve">). Mean </w:t>
      </w:r>
      <w:del w:id="173" w:author="Author">
        <w:r>
          <w:delText xml:space="preserve">heatwave </w:delText>
        </w:r>
      </w:del>
      <w:ins w:id="174" w:author="Author">
        <w:r>
          <w:t xml:space="preserve">prefectural ageing rate was 31.6 ± 3.3% (range 22.8–39.0%). Mean general hospital beds were 794 ± 149 per 100,000 (range 509–1,147). Mean number of </w:t>
        </w:r>
      </w:ins>
      <w:r>
        <w:t xml:space="preserve">days </w:t>
      </w:r>
      <w:del w:id="175" w:author="Author">
        <w:r>
          <w:delText>(</w:delText>
        </w:r>
      </w:del>
      <w:ins w:id="176" w:author="Author">
        <w:r>
          <w:t xml:space="preserve">with daily maximum WBGT ≥28°C (official Ministry of the Environment data) was 72.9 ± 14.1 (range 27.3–112.3); for descriptive comparison, mean number of days with </w:t>
        </w:r>
      </w:ins>
      <w:r>
        <w:t>maximum temperature ≥35°C</w:t>
      </w:r>
      <w:del w:id="177" w:author="Author">
        <w:r>
          <w:delText>) were</w:delText>
        </w:r>
      </w:del>
      <w:ins w:id="178" w:author="Author">
        <w:r>
          <w:t xml:space="preserve"> was</w:t>
        </w:r>
      </w:ins>
      <w:r>
        <w:t xml:space="preserve"> 17.9 ± 12.1 </w:t>
      </w:r>
      <w:del w:id="179" w:author="Author">
        <w:r>
          <w:delText xml:space="preserve">days </w:delText>
        </w:r>
      </w:del>
      <w:r>
        <w:t>(range</w:t>
      </w:r>
      <w:del w:id="180" w:author="Author">
        <w:r>
          <w:delText>:</w:delText>
        </w:r>
      </w:del>
      <w:r>
        <w:t xml:space="preserve"> 0.0–44.0</w:t>
      </w:r>
      <w:del w:id="181" w:author="Author">
        <w:r>
          <w:delText xml:space="preserve"> days), and mean summer WBGT was </w:delText>
        </w:r>
        <w:r>
          <w:delText>23.2</w:delText>
        </w:r>
        <w:r w:rsidR="00E22931">
          <w:rPr>
            <w:rStyle w:val="af6"/>
            <w:sz w:val="24"/>
            <w:szCs w:val="24"/>
          </w:rPr>
        </w:r>
        <w:r>
          <w:delText xml:space="preserve"> ± 1.0°C (range: 19.8–26.3°C).</w:delText>
        </w:r>
      </w:del>
      <w:ins w:id="183" w:author="Author">
        <w:r>
          <w:t>).</w:t>
        </w:r>
      </w:ins>
      <w:r>
        <w:t xml:space="preserve"> Mean air conditioning prevalence was 89.7 ± 13.6% (range</w:t>
      </w:r>
      <w:del w:id="184" w:author="Author">
        <w:r>
          <w:delText>:</w:delText>
        </w:r>
      </w:del>
      <w:r>
        <w:t xml:space="preserve"> 26.6–98.2%).</w:t>
      </w:r>
    </w:p>
    <w:p w14:paraId="77A1D0F9" w14:textId="77777777" w:rsidR="00F82D81" w:rsidRDefault="000D7512" w:rsidP="000D7512">
      <w:pPr>
        <w:pStyle w:val="2"/>
        <w:spacing w:line="360" w:lineRule="auto"/>
        <w:rPr>
          <w:del w:id="185" w:author="Author"/>
        </w:rPr>
      </w:pPr>
      <w:bookmarkStart w:id="186" w:name="univariate-regression-analysis"/>
      <w:bookmarkEnd w:id="158"/>
      <w:del w:id="187" w:author="Author">
        <w:r>
          <w:delText>2. Univariate Regression Analysis</w:delText>
        </w:r>
      </w:del>
    </w:p>
    <w:p w14:paraId="6C2DD952" w14:textId="77777777" w:rsidR="00F82D81" w:rsidRDefault="000D7512" w:rsidP="000D7512">
      <w:pPr>
        <w:pStyle w:val="2"/>
        <w:spacing w:line="360" w:lineRule="auto"/>
        <w:rPr>
          <w:ins w:id="188" w:author="Author"/>
        </w:rPr>
      </w:pPr>
      <w:ins w:id="189" w:author="Author">
        <w:r>
          <w:t>2. Association Between Elderly Solo Household Rate and Infusion Therapy Utilization: Unadjusted and Adjusted Models</w:t>
        </w:r>
      </w:ins>
    </w:p>
    <w:p w14:paraId="35F7212A" w14:textId="40A27EDF" w:rsidR="00F82D81" w:rsidRDefault="000D7512" w:rsidP="000D7512">
      <w:pPr>
        <w:pStyle w:val="FirstParagraph"/>
        <w:spacing w:line="360" w:lineRule="auto"/>
        <w:rPr>
          <w:ins w:id="190" w:author="Author"/>
        </w:rPr>
      </w:pPr>
      <w:r>
        <w:t xml:space="preserve">Elderly solo household rate was </w:t>
      </w:r>
      <w:del w:id="191" w:author="Author">
        <w:r>
          <w:delText xml:space="preserve">the only significant predictor of </w:delText>
        </w:r>
      </w:del>
      <w:ins w:id="192" w:author="Author">
        <w:r>
          <w:t xml:space="preserve">associated with </w:t>
        </w:r>
      </w:ins>
      <w:r>
        <w:t xml:space="preserve">infusion therapy utilization in </w:t>
      </w:r>
      <w:del w:id="193" w:author="Author">
        <w:r>
          <w:delText>univariate regression (</w:delText>
        </w:r>
      </w:del>
      <w:ins w:id="194" w:author="Author">
        <w:r>
          <w:t xml:space="preserve">the unadjusted model (Model O-A: </w:t>
        </w:r>
      </w:ins>
      <w:r>
        <w:t xml:space="preserve">β = </w:t>
      </w:r>
      <w:del w:id="195" w:author="Author">
        <w:r>
          <w:delText>723.37</w:delText>
        </w:r>
      </w:del>
      <w:ins w:id="196" w:author="Author">
        <w:r>
          <w:t>656.2</w:t>
        </w:r>
      </w:ins>
      <w:r>
        <w:t xml:space="preserve">; 95% CI, </w:t>
      </w:r>
      <w:del w:id="197" w:author="Author">
        <w:r>
          <w:delText>376.52–1,070.21</w:delText>
        </w:r>
      </w:del>
      <w:ins w:id="198" w:author="Author">
        <w:r>
          <w:t>326.9–985.6; standardized β = 0.521</w:t>
        </w:r>
      </w:ins>
      <w:r>
        <w:t>; R² = 0.</w:t>
      </w:r>
      <w:del w:id="199" w:author="Author">
        <w:r>
          <w:delText xml:space="preserve">282; </w:delText>
        </w:r>
        <w:r>
          <w:rPr>
            <w:i/>
            <w:iCs/>
          </w:rPr>
          <w:delText>p</w:delText>
        </w:r>
        <w:r>
          <w:delText xml:space="preserve"> = 0.0001) (</w:delText>
        </w:r>
      </w:del>
      <w:ins w:id="200" w:author="Author">
        <w:r>
          <w:t xml:space="preserve">272; adjusted R² = 0.256; p &lt; 0.001; </w:t>
        </w:r>
      </w:ins>
      <w:r>
        <w:t>Table 2</w:t>
      </w:r>
      <w:del w:id="201" w:author="Author">
        <w:r>
          <w:delText xml:space="preserve">). Each </w:delText>
        </w:r>
      </w:del>
      <w:ins w:id="202" w:author="Author">
        <w:r>
          <w:t>,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64C02431" w14:textId="77777777" w:rsidR="00F82D81" w:rsidRDefault="000D7512" w:rsidP="000D7512">
      <w:pPr>
        <w:pStyle w:val="2"/>
        <w:spacing w:line="360" w:lineRule="auto"/>
        <w:rPr>
          <w:ins w:id="203" w:author="Author"/>
        </w:rPr>
      </w:pPr>
      <w:bookmarkStart w:id="204" w:name="sensitivity-analysis-outlier-exclusion"/>
      <w:bookmarkEnd w:id="186"/>
      <w:ins w:id="205" w:author="Author">
        <w:r>
          <w:t>3. Influence Diagnostics and Sensitivity Analyses</w:t>
        </w:r>
      </w:ins>
    </w:p>
    <w:p w14:paraId="3A396722" w14:textId="34EA0B60" w:rsidR="00F82D81" w:rsidRDefault="000D7512" w:rsidP="000D7512">
      <w:pPr>
        <w:pStyle w:val="FirstParagraph"/>
        <w:spacing w:line="360" w:lineRule="auto"/>
        <w:rPr>
          <w:ins w:id="206" w:author="Author"/>
        </w:rPr>
      </w:pPr>
      <w:ins w:id="207" w:author="Autho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w:t>
        </w:r>
      </w:ins>
      <w:r>
        <w:t>one-</w:t>
      </w:r>
      <w:del w:id="208" w:author="Author">
        <w:r>
          <w:delText>percentage-point increase</w:delText>
        </w:r>
      </w:del>
      <w:ins w:id="209" w:author="Author">
        <w:r>
          <w:t>prefecture-out re-estimation of the fully adjusted model (47 iterations) produced coefficients ranging from −107.9 to 92.8, with the 95% CI crossing zero</w:t>
        </w:r>
      </w:ins>
      <w:r>
        <w:t xml:space="preserve"> in </w:t>
      </w:r>
      <w:ins w:id="210" w:author="Author">
        <w:r>
          <w:t>every iteration, indicating that the attenuated result was not driven by any single prefecture, including Hokkaido. Excluding Tokyo, Osaka, and Kanagawa jointly did not materially change the result (β = −42.0; 95% CI, −645.6–561.6; p = 0.891).</w:t>
        </w:r>
      </w:ins>
    </w:p>
    <w:p w14:paraId="47365C71" w14:textId="77777777" w:rsidR="00F82D81" w:rsidRDefault="000D7512" w:rsidP="000D7512">
      <w:pPr>
        <w:pStyle w:val="2"/>
        <w:spacing w:line="360" w:lineRule="auto"/>
        <w:rPr>
          <w:ins w:id="211" w:author="Author"/>
        </w:rPr>
      </w:pPr>
      <w:bookmarkStart w:id="212" w:name="sensitivity-analysis-tokyo-exclusion"/>
      <w:bookmarkEnd w:id="204"/>
      <w:ins w:id="213" w:author="Author">
        <w:r>
          <w:t>4. Nonlinearity</w:t>
        </w:r>
      </w:ins>
    </w:p>
    <w:p w14:paraId="0B8533C5" w14:textId="11C33DF7" w:rsidR="00F82D81" w:rsidRDefault="000D7512" w:rsidP="000D7512">
      <w:pPr>
        <w:pStyle w:val="FirstParagraph"/>
        <w:spacing w:line="360" w:lineRule="auto"/>
        <w:rPr>
          <w:ins w:id="214" w:author="Author"/>
        </w:rPr>
      </w:pPr>
      <w:ins w:id="215" w:author="Author">
        <w:r>
          <w:t xml:space="preserve">A quadratic term for </w:t>
        </w:r>
      </w:ins>
      <w:r>
        <w:t xml:space="preserve">elderly solo household rate </w:t>
      </w:r>
      <w:del w:id="216" w:author="Author">
        <w:r>
          <w:delText xml:space="preserve">was associated with approximately 723 additional infusion procedures per 100,000 </w:delText>
        </w:r>
      </w:del>
      <w:ins w:id="217" w:author="Author">
        <w:r>
          <w:t>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ins>
    </w:p>
    <w:p w14:paraId="101FC271" w14:textId="77777777" w:rsidR="00F82D81" w:rsidRDefault="000D7512" w:rsidP="000D7512">
      <w:pPr>
        <w:pStyle w:val="2"/>
        <w:spacing w:line="360" w:lineRule="auto"/>
        <w:rPr>
          <w:ins w:id="218" w:author="Author"/>
        </w:rPr>
      </w:pPr>
      <w:bookmarkStart w:id="219" w:name="X793686c0d3b106673603c46d8fde6afefd20ab7"/>
      <w:bookmarkEnd w:id="212"/>
      <w:ins w:id="220" w:author="Author">
        <w:r>
          <w:t>5. Alternative Exposure (Denominator) Analysis</w:t>
        </w:r>
      </w:ins>
    </w:p>
    <w:p w14:paraId="2D733388" w14:textId="77FDF346" w:rsidR="00F82D81" w:rsidRDefault="000D7512" w:rsidP="000D7512">
      <w:pPr>
        <w:pStyle w:val="FirstParagraph"/>
        <w:spacing w:line="360" w:lineRule="auto"/>
      </w:pPr>
      <w:ins w:id="221" w:author="Author">
        <w:r>
          <w:t xml:space="preserve">As a complementary sensitivity analysis, we examined an alternative exposure defined as the percentage of the prefecture's </w:t>
        </w:r>
      </w:ins>
      <w:r>
        <w:t>population</w:t>
      </w:r>
      <w:del w:id="222" w:author="Author">
        <w:r>
          <w:delText xml:space="preserve">. Heatwave days, WBGT, and air conditioning prevalence were not significantly associated with infusion therapy </w:delText>
        </w:r>
      </w:del>
      <w:ins w:id="223" w:author="Author">
        <w:r>
          <w:t xml:space="preserve"> aged ≥65 years who live alone (denominator: 65+ population, rather than all households). This alternative measure showed no association with infusion </w:t>
        </w:r>
      </w:ins>
      <w:r>
        <w:t>utilization</w:t>
      </w:r>
      <w:del w:id="224" w:author="Author">
        <w:r>
          <w:delText xml:space="preserve">.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ins w:id="225" w:author="Author">
        <w:r>
          <w:t>, either unadjusted (standardized β = 0.0003; 95% CI, −0.327–0.328; p = 0.998) or in the analogous fully adjusted model (standardized β = −0.034; 95% CI, −0.298–0.231; p = 0.803), and this pattern was unchanged across the sensitivity analyses described above (Online Resource 1</w:t>
        </w:r>
      </w:ins>
      <w:r>
        <w:t>).</w:t>
      </w:r>
    </w:p>
    <w:p w14:paraId="646AC441" w14:textId="77777777" w:rsidR="00F82D81" w:rsidRDefault="000D7512" w:rsidP="000D7512">
      <w:pPr>
        <w:pStyle w:val="2"/>
        <w:spacing w:line="360" w:lineRule="auto"/>
        <w:rPr>
          <w:del w:id="226" w:author="Author"/>
        </w:rPr>
      </w:pPr>
      <w:del w:id="227" w:author="Author">
        <w:r>
          <w:delText>3. Sensitivity Analysis: Outlier Exclusion</w:delText>
        </w:r>
      </w:del>
    </w:p>
    <w:p w14:paraId="6EF7ED51" w14:textId="77777777" w:rsidR="00F82D81" w:rsidRDefault="000D7512" w:rsidP="000D7512">
      <w:pPr>
        <w:pStyle w:val="FirstParagraph"/>
        <w:spacing w:line="360" w:lineRule="auto"/>
        <w:rPr>
          <w:del w:id="228" w:author="Author"/>
        </w:rPr>
      </w:pPr>
      <w:del w:id="229" w:author="Author">
        <w:r>
          <w:delText xml:space="preserve">Cook’s distance analysis identified Hokkaido and Kochi as influential observations exceeding the threshold of 4/N = 0.085. After excluding these two prefectures (N = 45), the association strengthened (β = 925.11; 95% CI, 564.74–1,285.47; R² = 0.384; </w:delText>
        </w:r>
        <w:r>
          <w:rPr>
            <w:i/>
            <w:iCs/>
          </w:rPr>
          <w:delText>p</w:delText>
        </w:r>
        <w:r>
          <w:delText xml:space="preserve"> &lt; 0.001) (Table 2, Panel B).</w:delText>
        </w:r>
      </w:del>
    </w:p>
    <w:p w14:paraId="3858385C" w14:textId="77777777" w:rsidR="00F82D81" w:rsidRDefault="000D7512" w:rsidP="000D7512">
      <w:pPr>
        <w:pStyle w:val="2"/>
        <w:spacing w:line="360" w:lineRule="auto"/>
        <w:rPr>
          <w:del w:id="230" w:author="Author"/>
        </w:rPr>
      </w:pPr>
      <w:del w:id="231" w:author="Author">
        <w:r>
          <w:delText>4. Sensitivity Analysis: Tokyo Exclusion</w:delText>
        </w:r>
      </w:del>
    </w:p>
    <w:p w14:paraId="2B76E5AF" w14:textId="77777777" w:rsidR="00F82D81" w:rsidRDefault="000D7512" w:rsidP="000D7512">
      <w:pPr>
        <w:pStyle w:val="FirstParagraph"/>
        <w:spacing w:line="360" w:lineRule="auto"/>
        <w:rPr>
          <w:del w:id="232" w:author="Author"/>
        </w:rPr>
      </w:pPr>
      <w:del w:id="233" w:author="Author">
        <w:r>
          <w:delText xml:space="preserve">After excluding Tokyo (N = 46), the association remained statistically significant (β = 696.92; 95% CI, 352.45–1,041.39; R² = 0.274; </w:delText>
        </w:r>
        <w:r>
          <w:rPr>
            <w:i/>
            <w:iCs/>
          </w:rPr>
          <w:delText>p</w:delText>
        </w:r>
        <w:r>
          <w:delText xml:space="preserve"> = 0.0002) (Table 2, Panel B), indicating that the finding was not driven by the unique characteristics of Japan’s largest metropolitan area.</w:delText>
        </w:r>
      </w:del>
    </w:p>
    <w:p w14:paraId="0B563043" w14:textId="77777777" w:rsidR="00F82D81" w:rsidRDefault="000D7512" w:rsidP="000D7512">
      <w:pPr>
        <w:pStyle w:val="2"/>
        <w:spacing w:line="360" w:lineRule="auto"/>
        <w:rPr>
          <w:del w:id="234" w:author="Author"/>
        </w:rPr>
      </w:pPr>
      <w:del w:id="235" w:author="Author">
        <w:r>
          <w:delText>5. Stratified Analysis by Elderly Solo Household Rate</w:delText>
        </w:r>
      </w:del>
    </w:p>
    <w:p w14:paraId="04862AF9" w14:textId="77777777" w:rsidR="00F82D81" w:rsidRDefault="000D7512" w:rsidP="000D7512">
      <w:pPr>
        <w:pStyle w:val="FirstParagraph"/>
        <w:spacing w:line="360" w:lineRule="auto"/>
        <w:rPr>
          <w:del w:id="236" w:author="Author"/>
        </w:rPr>
      </w:pPr>
      <w:del w:id="237" w:author="Author">
        <w:r>
          <w:delText xml:space="preserve">When prefectures were stratified by the median elderly solo household rate (12.3%), the association differed between strata. In the lower stratum (N = 23, rate &lt;12.3%), the association was statistically significant (β = 1,254.30; 95% CI, 7.69–2,500.92; R² = 0.173; </w:delText>
        </w:r>
        <w:r>
          <w:rPr>
            <w:i/>
            <w:iCs/>
          </w:rPr>
          <w:delText>p</w:delText>
        </w:r>
        <w:r>
          <w:delText xml:space="preserve"> = 0.049). In the higher stratum (N = 24, rate ≥12.3%), the association was not statistically significant (β = 264.50; 95% CI, −461.52–990.53; R² = 0.025; </w:delText>
        </w:r>
        <w:r>
          <w:rPr>
            <w:i/>
            <w:iCs/>
          </w:rPr>
          <w:delText>p</w:delText>
        </w:r>
        <w:r>
          <w:delText xml:space="preserve"> = 0.458) (Table 2, Panel B). The estimated coefficient differed between strata (lower stratum β = 1,254.30 vs. higher stratum β = 264.50).</w:delText>
        </w:r>
      </w:del>
    </w:p>
    <w:p w14:paraId="378CB103" w14:textId="587D1B20" w:rsidR="00F82D81" w:rsidRDefault="000D7512" w:rsidP="000D7512">
      <w:pPr>
        <w:pStyle w:val="2"/>
        <w:spacing w:line="360" w:lineRule="auto"/>
      </w:pPr>
      <w:bookmarkStart w:id="238" w:name="Xec550dadc753a887aafbab980c0dc6993a761a7"/>
      <w:bookmarkEnd w:id="219"/>
      <w:r>
        <w:t xml:space="preserve">6. </w:t>
      </w:r>
      <w:del w:id="239" w:author="Author">
        <w:r>
          <w:delText>Construct Validity:</w:delText>
        </w:r>
      </w:del>
      <w:ins w:id="240" w:author="Author">
        <w:r>
          <w:t>Comparison with</w:t>
        </w:r>
      </w:ins>
      <w:r>
        <w:t xml:space="preserve"> FDMA Heatstroke </w:t>
      </w:r>
      <w:ins w:id="241" w:author="Author">
        <w:r>
          <w:t xml:space="preserve">Ambulance </w:t>
        </w:r>
      </w:ins>
      <w:r>
        <w:t>Transport</w:t>
      </w:r>
      <w:del w:id="242" w:author="Author">
        <w:r>
          <w:delText xml:space="preserve"> Validation</w:delText>
        </w:r>
      </w:del>
    </w:p>
    <w:p w14:paraId="2B6F9A4E" w14:textId="19F171AA" w:rsidR="00F82D81" w:rsidRDefault="000D7512" w:rsidP="000D7512">
      <w:pPr>
        <w:pStyle w:val="FirstParagraph"/>
        <w:spacing w:line="360" w:lineRule="auto"/>
      </w:pPr>
      <w:r>
        <w:t xml:space="preserve">As a construct validity check, infusion therapy utilization </w:t>
      </w:r>
      <w:del w:id="243" w:author="Author">
        <w:r>
          <w:delText xml:space="preserve">rate </w:delText>
        </w:r>
      </w:del>
      <w:r>
        <w:t xml:space="preserve">was examined in relation to the summer 2023 heatstroke ambulance transport rate </w:t>
      </w:r>
      <w:del w:id="244" w:author="Author">
        <w:r>
          <w:delText xml:space="preserve">(per 100,000 population) derived </w:delText>
        </w:r>
      </w:del>
      <w:r>
        <w:t>from FDMA (Fire and Disaster Management Agency 2023</w:t>
      </w:r>
      <w:del w:id="245" w:author="Author">
        <w:r>
          <w:delText>)</w:delText>
        </w:r>
      </w:del>
      <w:ins w:id="246" w:author="Author">
        <w:r>
          <w:t>).</w:t>
        </w:r>
      </w:ins>
      <w:r>
        <w:t xml:space="preserve"> A</w:t>
      </w:r>
      <w:del w:id="247" w:author="Author">
        <w:r>
          <w:delText xml:space="preserve"> significant</w:delText>
        </w:r>
      </w:del>
      <w:r>
        <w:t xml:space="preserve"> positive association was observed (β = 70.19; 95% CI, 36.85–103.53; r = 0.534; p &lt; 0.001; Online Resource 1</w:t>
      </w:r>
      <w:del w:id="248" w:author="Author">
        <w:r>
          <w:delText>, panel a), supporting</w:delText>
        </w:r>
      </w:del>
      <w:ins w:id="249" w:author="Author">
        <w:r>
          <w:t>), which provides limited support for</w:t>
        </w:r>
      </w:ins>
      <w:r>
        <w:t xml:space="preserve"> the </w:t>
      </w:r>
      <w:del w:id="250" w:author="Author">
        <w:r>
          <w:delText>use</w:delText>
        </w:r>
      </w:del>
      <w:ins w:id="251" w:author="Author">
        <w:r>
          <w:t>presence</w:t>
        </w:r>
      </w:ins>
      <w:r>
        <w:t xml:space="preserve"> of </w:t>
      </w:r>
      <w:ins w:id="252" w:author="Author">
        <w:r>
          <w:t xml:space="preserve">a heat-related component in the </w:t>
        </w:r>
      </w:ins>
      <w:r>
        <w:t xml:space="preserve">infusion therapy </w:t>
      </w:r>
      <w:ins w:id="253" w:author="Author">
        <w:r>
          <w:t xml:space="preserve">outcome, rather than validating it </w:t>
        </w:r>
      </w:ins>
      <w:r>
        <w:t xml:space="preserve">as a </w:t>
      </w:r>
      <w:del w:id="254" w:author="Author">
        <w:r>
          <w:delText>population-level indicator</w:delText>
        </w:r>
      </w:del>
      <w:ins w:id="255" w:author="Author">
        <w:r>
          <w:t>direct measure</w:t>
        </w:r>
      </w:ins>
      <w:r>
        <w:t xml:space="preserve"> of heat-related dehydration.</w:t>
      </w:r>
    </w:p>
    <w:p w14:paraId="5EA24253" w14:textId="77777777" w:rsidR="00F82D81" w:rsidRDefault="000D7512" w:rsidP="000D7512">
      <w:pPr>
        <w:pStyle w:val="2"/>
        <w:spacing w:line="360" w:lineRule="auto"/>
        <w:rPr>
          <w:del w:id="256" w:author="Author"/>
        </w:rPr>
      </w:pPr>
      <w:bookmarkStart w:id="257" w:name="Xcfa361b8a851fc133a6f28d5722fa5ebb7ae8cf"/>
      <w:bookmarkEnd w:id="238"/>
      <w:del w:id="258" w:author="Author">
        <w:r>
          <w:delText>7. Negative Control: Outpatient Utilization Rate</w:delText>
        </w:r>
      </w:del>
    </w:p>
    <w:p w14:paraId="11D75381" w14:textId="77777777" w:rsidR="00F82D81" w:rsidRDefault="000D7512" w:rsidP="000D7512">
      <w:pPr>
        <w:pStyle w:val="FirstParagraph"/>
        <w:spacing w:line="360" w:lineRule="auto"/>
        <w:rPr>
          <w:del w:id="259" w:author="Author"/>
        </w:rPr>
      </w:pPr>
      <w:del w:id="260"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737F707C" w14:textId="77777777" w:rsidR="00F82D81" w:rsidRDefault="000D7512" w:rsidP="000D7512">
      <w:pPr>
        <w:pStyle w:val="2"/>
        <w:spacing w:line="360" w:lineRule="auto"/>
        <w:rPr>
          <w:ins w:id="261" w:author="Author"/>
        </w:rPr>
      </w:pPr>
      <w:ins w:id="262" w:author="Author">
        <w:r>
          <w:t>7. Comparison-Outcome Analysis</w:t>
        </w:r>
      </w:ins>
    </w:p>
    <w:p w14:paraId="7B0B3031" w14:textId="77777777" w:rsidR="00F82D81" w:rsidRDefault="000D7512" w:rsidP="000D7512">
      <w:pPr>
        <w:pStyle w:val="FirstParagraph"/>
        <w:spacing w:line="360" w:lineRule="auto"/>
        <w:rPr>
          <w:ins w:id="263" w:author="Author"/>
        </w:rPr>
      </w:pPr>
      <w:ins w:id="264" w:author="Autho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ins>
    </w:p>
    <w:p w14:paraId="7744BE69" w14:textId="77777777" w:rsidR="00F82D81" w:rsidRDefault="00291DF5" w:rsidP="000D7512">
      <w:pPr>
        <w:spacing w:line="360" w:lineRule="auto"/>
      </w:pPr>
      <w:r>
        <w:pict w14:anchorId="29E589FB">
          <v:rect id="_x0000_i1030" style="width:0;height:1.5pt" o:hralign="center" o:hrstd="t" o:hr="t"/>
        </w:pict>
      </w:r>
    </w:p>
    <w:p w14:paraId="2349B0AA" w14:textId="77777777" w:rsidR="00F82D81" w:rsidRDefault="000D7512" w:rsidP="000D7512">
      <w:pPr>
        <w:pStyle w:val="1"/>
        <w:spacing w:line="360" w:lineRule="auto"/>
      </w:pPr>
      <w:bookmarkStart w:id="265" w:name="discussion"/>
      <w:bookmarkEnd w:id="157"/>
      <w:bookmarkEnd w:id="257"/>
      <w:r>
        <w:t>Discussion</w:t>
      </w:r>
    </w:p>
    <w:p w14:paraId="0CAB3E2E" w14:textId="77777777" w:rsidR="00F82D81" w:rsidRDefault="000D7512" w:rsidP="000D7512">
      <w:pPr>
        <w:pStyle w:val="FirstParagraph"/>
        <w:spacing w:line="360" w:lineRule="auto"/>
        <w:rPr>
          <w:del w:id="266" w:author="Author"/>
        </w:rPr>
      </w:pPr>
      <w:del w:id="268"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w:delText>
        </w:r>
        <w:r w:rsidR="00337A37">
          <w:rPr>
            <w:rStyle w:val="af6"/>
            <w:sz w:val="24"/>
            <w:szCs w:val="24"/>
          </w:rPr>
        </w:r>
        <w:r>
          <w:delText xml:space="preserve"> In this nationwide ecological analysis, </w:delText>
        </w:r>
        <w:r>
          <w:delText>elderly solo household rate was robustly associated with infusion therapy utilization</w:delText>
        </w:r>
        <w:r w:rsidR="00120C97">
          <w:rPr>
            <w:rStyle w:val="af6"/>
            <w:sz w:val="24"/>
            <w:szCs w:val="24"/>
          </w:rPr>
        </w:r>
        <w:r>
          <w:delText>, while heatwave days and WBGT were not significant ecological correlates. This pattern suggests that social isolation may capture a surveillance-relevant dimension of heat vulnerability not represented by meteorological hazard alone.</w:delText>
        </w:r>
      </w:del>
    </w:p>
    <w:p w14:paraId="5D0B4099" w14:textId="207D14AC" w:rsidR="00F82D81" w:rsidRDefault="000D7512" w:rsidP="000D7512">
      <w:pPr>
        <w:pStyle w:val="FirstParagraph"/>
        <w:spacing w:line="360" w:lineRule="auto"/>
        <w:rPr>
          <w:ins w:id="270" w:author="Author"/>
        </w:rPr>
      </w:pPr>
      <w:del w:id="271" w:author="Author">
        <w:r>
          <w:delText>The association is plausible because living alone can amplify heat risk between exposure and care. Older adults may have</w:delText>
        </w:r>
      </w:del>
      <w:ins w:id="272" w:author="Autho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indicate that population age structure substantially explains the ecological association between elderly solo household rate and infusion therapy utilization.</w:t>
        </w:r>
      </w:ins>
    </w:p>
    <w:p w14:paraId="13BA1B6E" w14:textId="36E888F0" w:rsidR="00F82D81" w:rsidRDefault="000D7512" w:rsidP="000D7512">
      <w:pPr>
        <w:pStyle w:val="a0"/>
        <w:spacing w:line="360" w:lineRule="auto"/>
        <w:rPr>
          <w:ins w:id="273" w:author="Author"/>
        </w:rPr>
      </w:pPr>
      <w:ins w:id="274" w:author="Author">
        <w:r>
          <w:t>Physiological vulnerability to heat among older adults, including</w:t>
        </w:r>
      </w:ins>
      <w:r>
        <w:t xml:space="preserve"> reduced thermoregulation and blunted thirst perception</w:t>
      </w:r>
      <w:ins w:id="275" w:author="Author">
        <w:r>
          <w:t>, remains biologically plausible and is well documented</w:t>
        </w:r>
      </w:ins>
      <w:r>
        <w:t xml:space="preserve"> (Kenney and Munce 2003; Bouchama and Knochel 2002; Bach et al. 2024; Blatteis 2012</w:t>
      </w:r>
      <w:del w:id="276" w:author="Author">
        <w:r>
          <w:delText>) while living alone may reduce informal prompts to</w:delText>
        </w:r>
      </w:del>
      <w:ins w:id="277" w:author="Author">
        <w:r>
          <w:t>). The present ecological results indicate that population age structure, rather than living alone itself, is the principal driver of the observed prefecture-level association with infusion therapy utilization.</w:t>
        </w:r>
      </w:ins>
    </w:p>
    <w:p w14:paraId="65BB0960" w14:textId="5515B19D" w:rsidR="00F82D81" w:rsidRDefault="000D7512" w:rsidP="000D7512">
      <w:pPr>
        <w:pStyle w:val="a0"/>
        <w:spacing w:line="360" w:lineRule="auto"/>
      </w:pPr>
      <w:ins w:id="278" w:author="Author">
        <w:r>
          <w:t>Regional infusion</w:t>
        </w:r>
      </w:ins>
      <w:r>
        <w:t xml:space="preserve"> </w:t>
      </w:r>
      <w:r>
        <w:t xml:space="preserve">use </w:t>
      </w:r>
      <w:del w:id="280" w:author="Author">
        <w:r>
          <w:delText>air conditioning</w:delText>
        </w:r>
        <w:r w:rsidR="00704D9F">
          <w:rPr>
            <w:rStyle w:val="af6"/>
            <w:sz w:val="24"/>
            <w:szCs w:val="24"/>
          </w:rPr>
        </w:r>
        <w:r>
          <w:delText>,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81" w:author="Author">
        <w:r>
          <w:t>may also reflect healthcare supply and local treatment practice in addition to underlying morbidity: the estimate was further attenuated after adjusting for</w:t>
        </w:r>
      </w:ins>
      <w:r>
        <w:t xml:space="preserve"> general </w:t>
      </w:r>
      <w:del w:id="282" w:author="Author">
        <w:r>
          <w:delText>heat-health advice (Semenza et al. 1996; Naughton et al. 2002; Oberai et al. 2025; Zhang et al. 2025) (Berkman et al. 2011)</w:delText>
        </w:r>
      </w:del>
      <w:ins w:id="283"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53638D7A" w14:textId="57FE4ED7" w:rsidR="00F82D81" w:rsidRDefault="000D7512" w:rsidP="000D7512">
      <w:pPr>
        <w:pStyle w:val="a0"/>
        <w:spacing w:line="360" w:lineRule="auto"/>
      </w:pPr>
      <w:r>
        <w:t xml:space="preserve">Our findings </w:t>
      </w:r>
      <w:del w:id="284" w:author="Author">
        <w:r>
          <w:delText xml:space="preserve">align with </w:delText>
        </w:r>
      </w:del>
      <w:ins w:id="285" w:author="Author">
        <w:r>
          <w:t xml:space="preserve">do not contradict </w:t>
        </w:r>
      </w:ins>
      <w:r>
        <w:t xml:space="preserve">international evidence that social isolation </w:t>
      </w:r>
      <w:del w:id="286" w:author="Author">
        <w:r>
          <w:delText>increases</w:delText>
        </w:r>
      </w:del>
      <w:ins w:id="287" w:author="Author">
        <w:r>
          <w:t>is associated with</w:t>
        </w:r>
      </w:ins>
      <w:r>
        <w:t xml:space="preserve"> heat-related mortality</w:t>
      </w:r>
      <w:ins w:id="288" w:author="Author">
        <w:r>
          <w:t xml:space="preserve"> at the individual and small-area level</w:t>
        </w:r>
      </w:ins>
      <w:r>
        <w:t>, including</w:t>
      </w:r>
      <w:ins w:id="289" w:author="Author">
        <w:r>
          <w:t xml:space="preserve"> during</w:t>
        </w:r>
      </w:ins>
      <w:r>
        <w:t xml:space="preserve"> the 1995 Chicago and 2003 European heat waves (Vandentorren et al. 2006; Canouï-Poitrine et al. 2006; Semenza et al. 1996; Conti et al. </w:t>
      </w:r>
      <w:del w:id="290" w:author="Author">
        <w:r>
          <w:delText>2005) This study extends that literature by using nationwide administrative and census data to link an available household-composition indicator with dehydration-related healthcare utilization</w:delText>
        </w:r>
      </w:del>
      <w:ins w:id="291"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7D5DD050" w14:textId="77777777" w:rsidR="00F82D81" w:rsidRDefault="000D7512" w:rsidP="000D7512">
      <w:pPr>
        <w:pStyle w:val="a0"/>
        <w:spacing w:line="360" w:lineRule="auto"/>
        <w:rPr>
          <w:del w:id="292" w:author="Author"/>
        </w:rPr>
      </w:pPr>
      <w:del w:id="293" w:author="Author">
        <w:r>
          <w:delText>Japanese studies have identified advanced age and comorbidity as heatstroke risk factors (Ng et al. 2014; Miyatake et al. 2012) but fewer have examined social isolation as a prefecture-level surveillance indicator. The estimate of approximately 723 additional infusion procedures per 100,000</w:delText>
        </w:r>
      </w:del>
      <w:ins w:id="294" w:author="Author">
        <w:r>
          <w:t>That</w:t>
        </w:r>
      </w:ins>
      <w:r>
        <w:t xml:space="preserve"> population </w:t>
      </w:r>
      <w:ins w:id="295" w:author="Author">
        <w:r>
          <w:t xml:space="preserve">age structure explains most of the ecological association </w:t>
        </w:r>
      </w:ins>
      <w:r>
        <w:t xml:space="preserve">for </w:t>
      </w:r>
      <w:del w:id="296" w:author="Author">
        <w:r>
          <w:delText xml:space="preserve">each one-percentage-point increase in </w:delText>
        </w:r>
      </w:del>
      <w:r>
        <w:t xml:space="preserve">elderly solo household rate </w:t>
      </w:r>
      <w:del w:id="297" w:author="Author">
        <w:r>
          <w:delText xml:space="preserve">may be useful for prioritizing </w:delText>
        </w:r>
        <w:r>
          <w:delText>outreach and resource allocation.</w:delText>
        </w:r>
        <w:r w:rsidR="00831BDB">
          <w:rPr>
            <w:rStyle w:val="af6"/>
            <w:sz w:val="24"/>
            <w:szCs w:val="24"/>
          </w:rPr>
        </w:r>
      </w:del>
    </w:p>
    <w:p w14:paraId="2D3766DA" w14:textId="67023EB2" w:rsidR="00F82D81" w:rsidRDefault="000D7512" w:rsidP="000D7512">
      <w:pPr>
        <w:pStyle w:val="a0"/>
        <w:spacing w:line="360" w:lineRule="auto"/>
      </w:pPr>
      <w:del w:id="299" w:author="Author">
        <w:r>
          <w:delText xml:space="preserve">The absence of significant associations for heatwave days and WBGT </w:delText>
        </w:r>
      </w:del>
      <w:r>
        <w:t xml:space="preserve">should not be interpreted as evidence that </w:t>
      </w:r>
      <w:del w:id="300" w:author="Author">
        <w:r>
          <w:delText>climate</w:delText>
        </w:r>
      </w:del>
      <w:ins w:id="301" w:author="Author">
        <w:r>
          <w:t>heat exposure</w:t>
        </w:r>
      </w:ins>
      <w:r>
        <w:t xml:space="preserve"> is unimportant. </w:t>
      </w:r>
      <w:del w:id="303" w:author="Author">
        <w:r>
          <w:delText>Infusion therapy is</w:delText>
        </w:r>
      </w:del>
      <w:ins w:id="304" w:author="Author">
        <w:r>
          <w:t>Alternative WBGT metrics did</w:t>
        </w:r>
      </w:ins>
      <w:r>
        <w:t xml:space="preserve"> not </w:t>
      </w:r>
      <w:del w:id="305" w:author="Author">
        <w:r>
          <w:delText>heat-specific</w:delText>
        </w:r>
        <w:r w:rsidR="005A25B2">
          <w:rPr>
            <w:rStyle w:val="af6"/>
            <w:sz w:val="24"/>
            <w:szCs w:val="24"/>
          </w:rPr>
        </w:r>
        <w:r>
          <w:delText>, prefecture</w:delText>
        </w:r>
      </w:del>
      <w:ins w:id="306" w:author="Author">
        <w:r>
          <w:t>materially alter the interpretation; detailed exploratory results are reported in Online Resource 1. Prefecture</w:t>
        </w:r>
      </w:ins>
      <w:r>
        <w:t>-level climatic averages may</w:t>
      </w:r>
      <w:ins w:id="307" w:author="Author">
        <w:r>
          <w:t xml:space="preserve"> also</w:t>
        </w:r>
      </w:ins>
      <w:r>
        <w:t xml:space="preserve"> miss neighborhood and indoor exposures, and regional heat adaptation may attenuate simple ecological climate-health associations (Hondula et al. 2017; Harlan et al. 2013; Oka et al. </w:t>
      </w:r>
      <w:del w:id="308" w:author="Author">
        <w:r>
          <w:delText>2023) These considerations support combining meteorological indicators with social and built-environment indicators.</w:delText>
        </w:r>
      </w:del>
      <w:ins w:id="309" w:author="Author">
        <w:r>
          <w:t>2023).</w:t>
        </w:r>
      </w:ins>
    </w:p>
    <w:p w14:paraId="5C2C2022" w14:textId="77777777" w:rsidR="00F82D81" w:rsidRDefault="000D7512" w:rsidP="000D7512">
      <w:pPr>
        <w:pStyle w:val="a0"/>
        <w:spacing w:line="360" w:lineRule="auto"/>
        <w:rPr>
          <w:del w:id="310" w:author="Author"/>
        </w:rPr>
      </w:pPr>
      <w:r>
        <w:t xml:space="preserve">These findings </w:t>
      </w:r>
      <w:del w:id="311"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w:delText>
        </w:r>
        <w:r>
          <w:delText>cooling support</w:delText>
        </w:r>
        <w:r w:rsidR="00CD326A">
          <w:rPr>
            <w:rStyle w:val="af6"/>
            <w:sz w:val="24"/>
            <w:szCs w:val="24"/>
          </w:rPr>
        </w:r>
        <w:r>
          <w:delText>, and accessible, plain-language health communication during heat alerts.</w:delText>
        </w:r>
      </w:del>
    </w:p>
    <w:p w14:paraId="41717164" w14:textId="15178D18" w:rsidR="00F82D81" w:rsidRDefault="000D7512" w:rsidP="000D7512">
      <w:pPr>
        <w:pStyle w:val="a0"/>
        <w:spacing w:line="360" w:lineRule="auto"/>
      </w:pPr>
      <w:del w:id="313" w:author="Author">
        <w:r>
          <w:delText xml:space="preserve">A layered system could combine meteorological hazard forecasts with </w:delText>
        </w:r>
      </w:del>
      <w:ins w:id="314" w:author="Author">
        <w:r>
          <w:t xml:space="preserve">indicate that prefecture-level </w:t>
        </w:r>
      </w:ins>
      <w:r>
        <w:t>social</w:t>
      </w:r>
      <w:del w:id="315" w:author="Author">
        <w:r>
          <w:delText xml:space="preserve"> </w:delText>
        </w:r>
      </w:del>
      <w:ins w:id="316" w:author="Author">
        <w:r>
          <w:t>-</w:t>
        </w:r>
      </w:ins>
      <w:r>
        <w:t xml:space="preserve">vulnerability indicators such as elderly solo household rate </w:t>
      </w:r>
      <w:del w:id="317" w:author="Author">
        <w:r>
          <w:delText>and cooling access (Romitti et al. 2025) Such an approach would not replace climate alerts; it would guide where outreach, social care, and clinical preparedness should be intensified. Heat adaptation has primarily been framed as a meteorological problem; our findings suggest it should also be understood as a social care problem, supporting integration</w:delText>
        </w:r>
      </w:del>
      <w:ins w:id="318" w:author="Author">
        <w:r>
          <w:t>substantially reflect population age structure, and require careful demographic validation, together with consideration</w:t>
        </w:r>
      </w:ins>
      <w:r>
        <w:t xml:space="preserve"> of </w:t>
      </w:r>
      <w:del w:id="319" w:author="Author">
        <w:r>
          <w:delText>social vulnerability into existing</w:delText>
        </w:r>
      </w:del>
      <w:ins w:id="320" w:author="Author">
        <w:r>
          <w:t>healthcare supply and improved heat-exposure measures, before being proposed for</w:t>
        </w:r>
      </w:ins>
      <w:r>
        <w:t xml:space="preserve"> heat-health surveillance</w:t>
      </w:r>
      <w:del w:id="321" w:author="Author">
        <w:r>
          <w:delText xml:space="preserve"> rather than replacement of meteorological warning systems</w:delText>
        </w:r>
      </w:del>
      <w:r>
        <w:t>.</w:t>
      </w:r>
    </w:p>
    <w:p w14:paraId="3817EC02" w14:textId="3E17D209" w:rsidR="00F82D81" w:rsidRDefault="000D7512" w:rsidP="000D7512">
      <w:pPr>
        <w:pStyle w:val="a0"/>
        <w:spacing w:line="360" w:lineRule="auto"/>
      </w:pPr>
      <w:r>
        <w:t>Strengths include nationwide coverage of all 47 prefectures, use of NDB Open Data</w:t>
      </w:r>
      <w:del w:id="322" w:author="Author">
        <w:r>
          <w:delText xml:space="preserve"> with </w:delText>
        </w:r>
      </w:del>
      <w:ins w:id="323" w:author="Author">
        <w:r>
          <w:t xml:space="preserve">, official daily-maximum WBGT observations, and a </w:t>
        </w:r>
      </w:ins>
      <w:r>
        <w:t xml:space="preserve">comprehensive </w:t>
      </w:r>
      <w:del w:id="324" w:author="Author">
        <w:r>
          <w:delText xml:space="preserve">insurance claims, and robustness across multiple </w:delText>
        </w:r>
      </w:del>
      <w:ins w:id="325" w:author="Author">
        <w:r>
          <w:t xml:space="preserve">set of </w:t>
        </w:r>
      </w:ins>
      <w:r>
        <w:t>sensitivity</w:t>
      </w:r>
      <w:ins w:id="326" w:author="Author">
        <w:r>
          <w:t>, influence, and nonlinearity</w:t>
        </w:r>
      </w:ins>
      <w:r>
        <w:t xml:space="preserve"> analyses.</w:t>
      </w:r>
      <w:del w:id="327" w:author="Author">
        <w:r>
          <w:delText xml:space="preserve"> The ecological design also demonstrates how routinely available social indicators may strengthen heat-health surveillance.</w:delText>
        </w:r>
      </w:del>
    </w:p>
    <w:p w14:paraId="08C5EB09" w14:textId="0E9237F8" w:rsidR="00F82D81" w:rsidRDefault="000D7512" w:rsidP="000D7512">
      <w:pPr>
        <w:pStyle w:val="a0"/>
        <w:spacing w:line="360" w:lineRule="auto"/>
      </w:pPr>
      <w:r>
        <w:t xml:space="preserve">Several limitations should be considered. First, </w:t>
      </w:r>
      <w:ins w:id="328" w:author="Author">
        <w:r>
          <w:t xml:space="preserve">this is an </w:t>
        </w:r>
      </w:ins>
      <w:r>
        <w:t>ecological</w:t>
      </w:r>
      <w:ins w:id="329" w:author="Author">
        <w:r>
          <w:t xml:space="preserve"> design;</w:t>
        </w:r>
      </w:ins>
      <w:r>
        <w:t xml:space="preserve"> associations </w:t>
      </w:r>
      <w:ins w:id="330" w:author="Author">
        <w:r>
          <w:t xml:space="preserve">at the prefecture level </w:t>
        </w:r>
      </w:ins>
      <w:r>
        <w:t>may not reflect individual-level relationships</w:t>
      </w:r>
      <w:del w:id="331" w:author="Author">
        <w:r>
          <w:delText>. We</w:delText>
        </w:r>
      </w:del>
      <w:ins w:id="332" w:author="Author">
        <w:r>
          <w:t>, and we</w:t>
        </w:r>
      </w:ins>
      <w:r>
        <w:t xml:space="preserve"> cannot determine whether individuals living alone within a prefecture had higher infusion therapy utilization than those living with family. </w:t>
      </w:r>
      <w:del w:id="333" w:author="Author">
        <w:r>
          <w:delText>Second, this study did not directly evaluate heat warning systems; “socially blind” should be interpreted as a policy hypothesis, not a direct criticism of existing systems. Third, the cross-sectional design precludes causal inference</w:delText>
        </w:r>
      </w:del>
      <w:ins w:id="334"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1A79E144" w14:textId="77777777" w:rsidR="00F82D81" w:rsidRDefault="000D7512" w:rsidP="000D7512">
      <w:pPr>
        <w:pStyle w:val="a0"/>
        <w:spacing w:line="360" w:lineRule="auto"/>
        <w:rPr>
          <w:del w:id="335" w:author="Author"/>
        </w:rPr>
      </w:pPr>
      <w:del w:id="336" w:author="Author">
        <w:r>
          <w:delText xml:space="preserve">Fourth, because multivariable ecological modeling was not feasible owing to substantial collinearity, residual confounding cannot be excluded. Fifth, infusion therapy utilization is not heat-specific and captures dehydration from multiple </w:delText>
        </w:r>
        <w:r>
          <w:delText>causes</w:delText>
        </w:r>
        <w:r w:rsidR="00720744">
          <w:rPr>
            <w:rStyle w:val="af6"/>
            <w:sz w:val="24"/>
            <w:szCs w:val="24"/>
          </w:rPr>
        </w:r>
        <w:r>
          <w:delText>,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50C39BB5" w14:textId="77777777" w:rsidR="00F82D81" w:rsidRDefault="000D7512" w:rsidP="000D7512">
      <w:pPr>
        <w:pStyle w:val="a0"/>
        <w:spacing w:line="360" w:lineRule="auto"/>
        <w:rPr>
          <w:del w:id="338" w:author="Author"/>
        </w:rPr>
      </w:pPr>
      <w:del w:id="340" w:author="Author">
        <w:r>
          <w:delText xml:space="preserve">Sixth, unmeasured confounding by socioeconomic status, healthcare access, chronic disease, medication use, housing, and urban heat islands may remain. </w:delText>
        </w:r>
        <w:r w:rsidR="006C4965">
          <w:rPr>
            <w:rStyle w:val="af6"/>
            <w:sz w:val="24"/>
            <w:szCs w:val="24"/>
          </w:rPr>
        </w:r>
        <w:r>
          <w:delText>Climatic measures were prefecture-level averages and did not capture indoor or neighborhood exposures.</w:delText>
        </w:r>
      </w:del>
    </w:p>
    <w:p w14:paraId="2BD677BC" w14:textId="7B395CD2" w:rsidR="00F82D81" w:rsidRDefault="000D7512" w:rsidP="000D7512">
      <w:pPr>
        <w:pStyle w:val="a0"/>
        <w:spacing w:line="360" w:lineRule="auto"/>
        <w:rPr>
          <w:ins w:id="341" w:author="Author"/>
        </w:rPr>
      </w:pPr>
      <w:del w:id="342"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43"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(2023), which was unusually hot at the time (Japan Meteorological Agency 2023); given that summers in Japan are projected to become progressively hotter, this single-year window may in fact be broadly representative of near-future conditions, although replication across multiple years remains necessary to confirm generalizability.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5DBC3B5D" w14:textId="77777777" w:rsidR="00F82D81" w:rsidRDefault="000D7512" w:rsidP="000D7512">
      <w:pPr>
        <w:pStyle w:val="a0"/>
        <w:spacing w:line="360" w:lineRule="auto"/>
        <w:rPr>
          <w:ins w:id="344" w:author="Author"/>
        </w:rPr>
      </w:pPr>
      <w:ins w:id="345"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193E5759" w14:textId="5FD8D500" w:rsidR="00F82D81" w:rsidRDefault="000D7512" w:rsidP="000D7512">
      <w:pPr>
        <w:pStyle w:val="a0"/>
        <w:spacing w:line="360" w:lineRule="auto"/>
        <w:rPr>
          <w:ins w:id="346" w:author="Author"/>
        </w:rPr>
      </w:pPr>
      <w:r>
        <w:t xml:space="preserve">Finally, air conditioning prevalence </w:t>
      </w:r>
      <w:del w:id="347" w:author="Author">
        <w:r>
          <w:delText>was derived from 2014 survey data; while national ownership rates have remained high in Japan, the extreme lower range observed in this study (26.6% in one prefecture) likely</w:delText>
        </w:r>
      </w:del>
      <w:ins w:id="348" w:author="Author">
        <w:r>
          <w:t>(2014 survey)</w:t>
        </w:r>
      </w:ins>
      <w:r>
        <w:t xml:space="preserve"> reflects </w:t>
      </w:r>
      <w:del w:id="349" w:author="Author">
        <w:r>
          <w:delText>historical underuse</w:delText>
        </w:r>
      </w:del>
      <w:ins w:id="350" w:author="Author">
        <w:r>
          <w:t>ownership, not actual use, and cannot establish whether cooling was applied; it is reported descriptively (Table 1) and was not included</w:t>
        </w:r>
      </w:ins>
      <w:r>
        <w:t xml:space="preserve"> in </w:t>
      </w:r>
      <w:del w:id="351" w:author="Author">
        <w:r>
          <w:delText>cold-climate prefectures that may have changed in recent years.</w:delText>
        </w:r>
      </w:del>
      <w:ins w:id="352" w:author="Author">
        <w:r>
          <w:t>the primary adjusted models.</w:t>
        </w:r>
      </w:ins>
      <w:r>
        <w:t xml:space="preserve"> The present findings should be interpreted as evidence for </w:t>
      </w:r>
      <w:ins w:id="353" w:author="Author">
        <w:r>
          <w:t xml:space="preserve">cautious, demographically informed use of social-vulnerability indicators in heat-health </w:t>
        </w:r>
      </w:ins>
      <w:r>
        <w:t>surveillance</w:t>
      </w:r>
      <w:del w:id="354" w:author="Author">
        <w:r>
          <w:delText xml:space="preserve"> prioritization</w:delText>
        </w:r>
      </w:del>
      <w:ins w:id="355" w:author="Author">
        <w:r>
          <w:t>,</w:t>
        </w:r>
      </w:ins>
      <w:r>
        <w:t xml:space="preserve"> rather than </w:t>
      </w:r>
      <w:del w:id="356" w:author="Author">
        <w:r>
          <w:delText>causal</w:delText>
        </w:r>
      </w:del>
      <w:ins w:id="357" w:author="Author">
        <w:r>
          <w:t>as</w:t>
        </w:r>
      </w:ins>
      <w:r>
        <w:t xml:space="preserve"> evidence</w:t>
      </w:r>
      <w:ins w:id="358" w:author="Author">
        <w:r>
          <w:t xml:space="preserve"> against considering social factors altogether.</w:t>
        </w:r>
      </w:ins>
    </w:p>
    <w:p w14:paraId="07A9AEC7" w14:textId="1C7059A3" w:rsidR="00F82D81" w:rsidRDefault="000D7512" w:rsidP="000D7512">
      <w:pPr>
        <w:pStyle w:val="a0"/>
        <w:spacing w:line="360" w:lineRule="auto"/>
      </w:pPr>
      <w:ins w:id="359" w:author="Author">
        <w:r>
          <w:t>Given the ecological, cross-sectional, and single-year design, these findings should be considered hypothesis-generating. These considerations indicate that firmer conclusions about an independent heat-vulnerability effect</w:t>
        </w:r>
      </w:ins>
      <w:r>
        <w:t xml:space="preserve"> of </w:t>
      </w:r>
      <w:del w:id="360" w:author="Author">
        <w:r>
          <w:delText>heat-related illness</w:delText>
        </w:r>
      </w:del>
      <w:ins w:id="361" w:author="Author">
        <w:r>
          <w:t>household living arrangement would require age-specific outcome data, multi-year designs, and finer-grained exposure measurement, in addition to the demographic caution highlighted above</w:t>
        </w:r>
      </w:ins>
      <w:r>
        <w:t>.</w:t>
      </w:r>
    </w:p>
    <w:p w14:paraId="13A2B9AC" w14:textId="77777777" w:rsidR="00F82D81" w:rsidRDefault="00291DF5" w:rsidP="000D7512">
      <w:pPr>
        <w:spacing w:line="360" w:lineRule="auto"/>
      </w:pPr>
      <w:r>
        <w:pict w14:anchorId="65EB3341">
          <v:rect id="_x0000_i1031" style="width:0;height:1.5pt" o:hralign="center" o:hrstd="t" o:hr="t"/>
        </w:pict>
      </w:r>
    </w:p>
    <w:p w14:paraId="64B9C9DC" w14:textId="77777777" w:rsidR="00F82D81" w:rsidRDefault="000D7512" w:rsidP="000D7512">
      <w:pPr>
        <w:pStyle w:val="1"/>
        <w:spacing w:line="360" w:lineRule="auto"/>
      </w:pPr>
      <w:bookmarkStart w:id="362" w:name="conclusions-1"/>
      <w:bookmarkEnd w:id="265"/>
      <w:r>
        <w:t>Conclusions</w:t>
      </w:r>
    </w:p>
    <w:p w14:paraId="4681D69C" w14:textId="6DC7BCBE" w:rsidR="00F82D81" w:rsidRDefault="000D7512" w:rsidP="000D7512">
      <w:pPr>
        <w:pStyle w:val="FirstParagraph"/>
        <w:spacing w:line="360" w:lineRule="auto"/>
      </w:pPr>
      <w:r>
        <w:t xml:space="preserve">In this nationwide ecological study, elderly solo household rate was associated with </w:t>
      </w:r>
      <w:del w:id="363" w:author="Author">
        <w:r>
          <w:delText xml:space="preserve">dehydration-related healthcare </w:delText>
        </w:r>
      </w:del>
      <w:ins w:id="364" w:author="Author">
        <w:r>
          <w:t xml:space="preserve">large-volume infusion therapy </w:t>
        </w:r>
      </w:ins>
      <w:r>
        <w:t xml:space="preserve">utilization </w:t>
      </w:r>
      <w:del w:id="365" w:author="Author">
        <w:r>
          <w:delText xml:space="preserve">across Japanese prefectures </w:delText>
        </w:r>
      </w:del>
      <w:r>
        <w:t xml:space="preserve">in </w:t>
      </w:r>
      <w:del w:id="366" w:author="Author">
        <w:r>
          <w:delText>univariate analyses. The</w:delText>
        </w:r>
      </w:del>
      <w:ins w:id="367" w:author="Author">
        <w:r>
          <w:t>unadjusted analysis; this</w:t>
        </w:r>
      </w:ins>
      <w:r>
        <w:t xml:space="preserve"> association was </w:t>
      </w:r>
      <w:del w:id="368" w:author="Author">
        <w:r>
          <w:delText>consistent across multiple sensitivity analyses, whereas heatwave days</w:delText>
        </w:r>
      </w:del>
      <w:ins w:id="369" w:author="Author">
        <w:r>
          <w:t>substantially explained by prefectural ageing rate</w:t>
        </w:r>
      </w:ins>
      <w:r>
        <w:t xml:space="preserve"> and </w:t>
      </w:r>
      <w:del w:id="370" w:author="Author">
        <w:r>
          <w:delText>WBGT were not significant ecological correlates</w:delText>
        </w:r>
      </w:del>
      <w:ins w:id="371" w:author="Author">
        <w:r>
          <w:t>was further attenuated toward zero after additional adjustment for healthcare supply and summer heat exposure</w:t>
        </w:r>
      </w:ins>
      <w:r>
        <w:t>.</w:t>
      </w:r>
    </w:p>
    <w:p w14:paraId="22A0B678" w14:textId="77777777" w:rsidR="00F82D81" w:rsidRDefault="000D7512" w:rsidP="000D7512">
      <w:pPr>
        <w:pStyle w:val="a0"/>
        <w:spacing w:line="360" w:lineRule="auto"/>
        <w:rPr>
          <w:del w:id="372" w:author="Author"/>
        </w:rPr>
      </w:pPr>
      <w:del w:id="373"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7E1308C4" w14:textId="77777777" w:rsidR="00F82D81" w:rsidRDefault="000D7512" w:rsidP="000D7512">
      <w:pPr>
        <w:pStyle w:val="a0"/>
        <w:spacing w:line="360" w:lineRule="auto"/>
        <w:rPr>
          <w:ins w:id="374" w:author="Author"/>
        </w:rPr>
      </w:pPr>
      <w:ins w:id="375" w:author="Author">
        <w:r>
          <w:t>These findings indicate that population age structure, together with healthcare supply and heat exposure, substantially explains the ecological association between elderly solo household rate and infusion therapy utilization. Given the ecological, cross-sectional, and single-year design, these findings should be regarded as hypothesis-generating; they highlight the importance of explicit adjustment for age structure and attention to denominator choice before routinely available social-vulnerability indicators are proposed for heat-health surveillance.</w:t>
        </w:r>
      </w:ins>
    </w:p>
    <w:p w14:paraId="3B444F33" w14:textId="23C77CB2" w:rsidR="00F82D81" w:rsidRDefault="000D7512" w:rsidP="000D7512">
      <w:pPr>
        <w:pStyle w:val="a0"/>
        <w:spacing w:line="360" w:lineRule="auto"/>
      </w:pPr>
      <w:r>
        <w:t>Future individual-level and longitudinal studies</w:t>
      </w:r>
      <w:ins w:id="376" w:author="Author">
        <w:r>
          <w:t>, and age-specific administrative data where available,</w:t>
        </w:r>
      </w:ins>
      <w:r>
        <w:t xml:space="preserve"> are needed to </w:t>
      </w:r>
      <w:del w:id="377" w:author="Author">
        <w:r>
          <w:delText xml:space="preserve">confirm these population-level findings and to </w:delText>
        </w:r>
      </w:del>
      <w:r>
        <w:t xml:space="preserve">clarify </w:t>
      </w:r>
      <w:del w:id="378" w:author="Author">
        <w:r>
          <w:delText>pathways linking social isolation, heat exposure, and dehydration-related healthcare use</w:delText>
        </w:r>
      </w:del>
      <w:ins w:id="379" w:author="Author">
        <w:r>
          <w:t>whether living alone carries an independent heat-vulnerability signal beyond population age structure, and to establish the role of healthcare supply and improved heat-exposure measures in explaining prefecture-level utilization patterns</w:t>
        </w:r>
      </w:ins>
      <w:r>
        <w:t>.</w:t>
      </w:r>
    </w:p>
    <w:p w14:paraId="469F2514" w14:textId="77777777" w:rsidR="00F82D81" w:rsidRDefault="00291DF5" w:rsidP="000D7512">
      <w:pPr>
        <w:spacing w:line="360" w:lineRule="auto"/>
      </w:pPr>
      <w:r>
        <w:pict w14:anchorId="0B1A32FC">
          <v:rect id="_x0000_i1032" style="width:0;height:1.5pt" o:hralign="center" o:hrstd="t" o:hr="t"/>
        </w:pict>
      </w:r>
    </w:p>
    <w:p w14:paraId="625E4A07" w14:textId="77777777" w:rsidR="00F82D81" w:rsidRDefault="000D7512" w:rsidP="000D7512">
      <w:pPr>
        <w:pStyle w:val="1"/>
        <w:spacing w:line="360" w:lineRule="auto"/>
      </w:pPr>
      <w:bookmarkStart w:id="380" w:name="acknowledgments"/>
      <w:bookmarkEnd w:id="362"/>
      <w:r>
        <w:t>Acknowledgments</w:t>
      </w:r>
    </w:p>
    <w:p w14:paraId="564ADF9C"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11714130" w14:textId="77777777" w:rsidR="00F82D81" w:rsidRDefault="00291DF5" w:rsidP="000D7512">
      <w:pPr>
        <w:spacing w:line="360" w:lineRule="auto"/>
      </w:pPr>
      <w:r>
        <w:pict w14:anchorId="0722B662">
          <v:rect id="_x0000_i1033" style="width:0;height:1.5pt" o:hralign="center" o:hrstd="t" o:hr="t"/>
        </w:pict>
      </w:r>
    </w:p>
    <w:p w14:paraId="40DE75ED" w14:textId="77777777" w:rsidR="00F82D81" w:rsidRDefault="000D7512" w:rsidP="000D7512">
      <w:pPr>
        <w:pStyle w:val="1"/>
        <w:spacing w:line="360" w:lineRule="auto"/>
      </w:pPr>
      <w:bookmarkStart w:id="381" w:name="conflicts-of-interest"/>
      <w:bookmarkEnd w:id="380"/>
      <w:r>
        <w:t>Conflicts of Interest</w:t>
      </w:r>
    </w:p>
    <w:p w14:paraId="315ED45F" w14:textId="77777777" w:rsidR="00F82D81" w:rsidRDefault="000D7512" w:rsidP="000D7512">
      <w:pPr>
        <w:pStyle w:val="FirstParagraph"/>
        <w:spacing w:line="360" w:lineRule="auto"/>
      </w:pPr>
      <w:r>
        <w:t>The authors declare no conflicts of interest.</w:t>
      </w:r>
    </w:p>
    <w:p w14:paraId="1E062119" w14:textId="77777777" w:rsidR="00F82D81" w:rsidRDefault="00291DF5" w:rsidP="000D7512">
      <w:pPr>
        <w:spacing w:line="360" w:lineRule="auto"/>
      </w:pPr>
      <w:r>
        <w:pict w14:anchorId="59BB6FFE">
          <v:rect id="_x0000_i1034" style="width:0;height:1.5pt" o:hralign="center" o:hrstd="t" o:hr="t"/>
        </w:pict>
      </w:r>
    </w:p>
    <w:p w14:paraId="6C3074BA" w14:textId="77777777" w:rsidR="00F82D81" w:rsidRDefault="000D7512" w:rsidP="000D7512">
      <w:pPr>
        <w:pStyle w:val="1"/>
        <w:spacing w:line="360" w:lineRule="auto"/>
      </w:pPr>
      <w:bookmarkStart w:id="382" w:name="data-availability"/>
      <w:bookmarkEnd w:id="381"/>
      <w:r>
        <w:t>Data Availability</w:t>
      </w:r>
    </w:p>
    <w:p w14:paraId="19FAE9B3" w14:textId="1B0555DF"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383" w:author="Author">
        <w:r>
          <w:delText xml:space="preserve"> is</w:delText>
        </w:r>
      </w:del>
      <w:ins w:id="384" w:author="Author">
        <w:r>
          <w:t>, derived data, and provenance records are</w:t>
        </w:r>
      </w:ins>
      <w:r>
        <w:t xml:space="preserve"> openly available on GitHub (https://github.com/haruki00430/NDB</w:t>
      </w:r>
      <w:del w:id="385" w:author="Author">
        <w:r>
          <w:delText>_XXX_heatwave_heatstroke</w:delText>
        </w:r>
      </w:del>
      <w:ins w:id="386" w:author="Author">
        <w:r>
          <w:t>-solo-household-infusion-therapy-japan</w:t>
        </w:r>
      </w:ins>
      <w:r>
        <w:t>) and archived on Zenodo (https://doi.org/10.5281/zenodo.</w:t>
      </w:r>
      <w:del w:id="387" w:author="Author">
        <w:r>
          <w:delText>20740375).</w:delText>
        </w:r>
      </w:del>
      <w:ins w:id="388" w:author="Author">
        <w:r>
          <w:t>20740374), which always resolves to the most recent version.</w:t>
        </w:r>
      </w:ins>
    </w:p>
    <w:p w14:paraId="49E441AE" w14:textId="77777777" w:rsidR="00F82D81" w:rsidRDefault="00291DF5" w:rsidP="000D7512">
      <w:pPr>
        <w:spacing w:line="360" w:lineRule="auto"/>
      </w:pPr>
      <w:r>
        <w:pict w14:anchorId="06C44B6D">
          <v:rect id="_x0000_i1035" style="width:0;height:1.5pt" o:hralign="center" o:hrstd="t" o:hr="t"/>
        </w:pict>
      </w:r>
    </w:p>
    <w:p w14:paraId="54B89F41" w14:textId="77777777" w:rsidR="00F82D81" w:rsidRDefault="000D7512" w:rsidP="000D7512">
      <w:pPr>
        <w:pStyle w:val="1"/>
        <w:spacing w:line="360" w:lineRule="auto"/>
      </w:pPr>
      <w:bookmarkStart w:id="389" w:name="author-contributions"/>
      <w:bookmarkEnd w:id="382"/>
      <w:r>
        <w:t>Author Contributions</w:t>
      </w:r>
    </w:p>
    <w:p w14:paraId="49C261CC"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412E9924" w14:textId="77777777" w:rsidR="00F82D81" w:rsidRDefault="000D7512" w:rsidP="000D7512">
      <w:pPr>
        <w:pStyle w:val="a0"/>
        <w:spacing w:line="360" w:lineRule="auto"/>
      </w:pPr>
      <w:r>
        <w:t>Tetsuya Ohira: Conceptualization, Supervision, Writing – review and editing.</w:t>
      </w:r>
    </w:p>
    <w:p w14:paraId="33B5BF3D" w14:textId="77777777" w:rsidR="00F82D81" w:rsidRDefault="00291DF5" w:rsidP="000D7512">
      <w:pPr>
        <w:spacing w:line="360" w:lineRule="auto"/>
      </w:pPr>
      <w:r>
        <w:pict w14:anchorId="338E5A82">
          <v:rect id="_x0000_i1036" style="width:0;height:1.5pt" o:hralign="center" o:hrstd="t" o:hr="t"/>
        </w:pict>
      </w:r>
    </w:p>
    <w:p w14:paraId="5E7653BC" w14:textId="77777777" w:rsidR="00F82D81" w:rsidRDefault="000D7512" w:rsidP="000D7512">
      <w:pPr>
        <w:pStyle w:val="1"/>
        <w:spacing w:line="360" w:lineRule="auto"/>
      </w:pPr>
      <w:bookmarkStart w:id="390" w:name="funding"/>
      <w:bookmarkEnd w:id="389"/>
      <w:r>
        <w:t>Funding</w:t>
      </w:r>
    </w:p>
    <w:p w14:paraId="7C77458F" w14:textId="77777777" w:rsidR="00F82D81" w:rsidRDefault="000D7512" w:rsidP="000D7512">
      <w:pPr>
        <w:pStyle w:val="FirstParagraph"/>
        <w:spacing w:line="360" w:lineRule="auto"/>
      </w:pPr>
      <w:r>
        <w:t>None declared.</w:t>
      </w:r>
    </w:p>
    <w:p w14:paraId="06B47F3B" w14:textId="77777777" w:rsidR="00F82D81" w:rsidRDefault="00291DF5" w:rsidP="000D7512">
      <w:pPr>
        <w:spacing w:line="360" w:lineRule="auto"/>
      </w:pPr>
      <w:r>
        <w:pict w14:anchorId="7732F2C2">
          <v:rect id="_x0000_i1037" style="width:0;height:1.5pt" o:hralign="center" o:hrstd="t" o:hr="t"/>
        </w:pict>
      </w:r>
    </w:p>
    <w:p w14:paraId="5581ACB6" w14:textId="77777777" w:rsidR="00F82D81" w:rsidRDefault="000D7512" w:rsidP="000D7512">
      <w:pPr>
        <w:pStyle w:val="1"/>
        <w:spacing w:line="360" w:lineRule="auto"/>
      </w:pPr>
      <w:bookmarkStart w:id="391" w:name="X1f74eb43af444059c7518034463b6c89b1cacf4"/>
      <w:bookmarkEnd w:id="390"/>
      <w:r>
        <w:t>Declaration of Generative AI and AI-Assisted Technologies in the Manuscript Preparation Process</w:t>
      </w:r>
    </w:p>
    <w:p w14:paraId="6ACB9762" w14:textId="573826DD" w:rsidR="00F82D81" w:rsidRDefault="000D7512" w:rsidP="000D7512">
      <w:pPr>
        <w:pStyle w:val="FirstParagraph"/>
        <w:spacing w:line="360" w:lineRule="auto"/>
      </w:pPr>
      <w:r>
        <w:t xml:space="preserve">During the preparation </w:t>
      </w:r>
      <w:del w:id="392" w:author="Author">
        <w:r>
          <w:delText xml:space="preserve">and writing </w:delText>
        </w:r>
      </w:del>
      <w:r>
        <w:t xml:space="preserve">of </w:t>
      </w:r>
      <w:del w:id="393" w:author="Author">
        <w:r>
          <w:delText>this work</w:delText>
        </w:r>
      </w:del>
      <w:ins w:id="394"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395" w:author="Author">
        <w:r>
          <w:delText>) and</w:delText>
        </w:r>
      </w:del>
      <w:ins w:id="396" w:author="Author">
        <w:r>
          <w:t>),</w:t>
        </w:r>
      </w:ins>
      <w:r>
        <w:t xml:space="preserve"> GPT-5.5 (OpenAI</w:t>
      </w:r>
      <w:del w:id="397" w:author="Author">
        <w:r>
          <w:delText>)</w:delText>
        </w:r>
      </w:del>
      <w:ins w:id="398" w:author="Author">
        <w:r>
          <w:t>),</w:t>
        </w:r>
      </w:ins>
      <w:r>
        <w:t xml:space="preserve"> and Gemini 3 Pro (Google). </w:t>
      </w:r>
      <w:del w:id="399" w:author="Author">
        <w:r>
          <w:delText xml:space="preserve">These tools were used only for text drafting and code generation; no generative AI or </w:delText>
        </w:r>
      </w:del>
      <w:ins w:id="400" w:author="Author">
        <w:r>
          <w:t xml:space="preserve">During preparation of the revision, the authors used </w:t>
        </w:r>
      </w:ins>
      <w:r>
        <w:t xml:space="preserve">AI-assisted tools </w:t>
      </w:r>
      <w:del w:id="401" w:author="Author">
        <w:r>
          <w:delText>were used</w:delText>
        </w:r>
      </w:del>
      <w:ins w:id="402" w:author="Author">
        <w:r>
          <w:t>(Claude Sonnet 5, Anthropic, accessed via Claude Code)</w:t>
        </w:r>
      </w:ins>
      <w:r>
        <w:t xml:space="preserve"> to </w:t>
      </w:r>
      <w:del w:id="403" w:author="Author">
        <w:r>
          <w:delText>create, alter, or otherwise process any figures, images, or artwork in this manuscript.</w:delText>
        </w:r>
      </w:del>
      <w:ins w:id="404"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405" w:author="Author">
        <w:r>
          <w:delText xml:space="preserve">AI-assisted </w:delText>
        </w:r>
      </w:del>
      <w:r>
        <w:t xml:space="preserve">outputs and </w:t>
      </w:r>
      <w:del w:id="406" w:author="Author">
        <w:r>
          <w:delText xml:space="preserve">were responsible for the study design, selection of statistical methods, interpretation of findings, conclusions, and final reference list. The authors </w:delText>
        </w:r>
      </w:del>
      <w:r>
        <w:t xml:space="preserve">take full responsibility for the </w:t>
      </w:r>
      <w:del w:id="407" w:author="Author">
        <w:r>
          <w:delText xml:space="preserve">integrity and accuracy of the </w:delText>
        </w:r>
      </w:del>
      <w:r>
        <w:t xml:space="preserve">final </w:t>
      </w:r>
      <w:del w:id="408" w:author="Author">
        <w:r>
          <w:delText>content</w:delText>
        </w:r>
      </w:del>
      <w:ins w:id="409" w:author="Author">
        <w:r>
          <w:t>manuscript</w:t>
        </w:r>
      </w:ins>
      <w:r>
        <w:t>. AI was not listed as an author.</w:t>
      </w:r>
    </w:p>
    <w:p w14:paraId="1F7B7F91" w14:textId="77777777" w:rsidR="00F82D81" w:rsidRDefault="00291DF5" w:rsidP="000D7512">
      <w:pPr>
        <w:spacing w:line="360" w:lineRule="auto"/>
      </w:pPr>
      <w:r>
        <w:pict w14:anchorId="7897EBE4">
          <v:rect id="_x0000_i1038" style="width:0;height:1.5pt" o:hralign="center" o:hrstd="t" o:hr="t"/>
        </w:pict>
      </w:r>
    </w:p>
    <w:p w14:paraId="5FD9A5FB" w14:textId="77777777" w:rsidR="00F82D81" w:rsidRDefault="000D7512" w:rsidP="000D7512">
      <w:pPr>
        <w:pStyle w:val="1"/>
        <w:spacing w:line="360" w:lineRule="auto"/>
      </w:pPr>
      <w:bookmarkStart w:id="410" w:name="references"/>
      <w:bookmarkEnd w:id="391"/>
      <w:r>
        <w:t>References</w:t>
      </w:r>
    </w:p>
    <w:p w14:paraId="3BC172E3"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2037E11A" w14:textId="77777777" w:rsidR="00DC42D8" w:rsidRDefault="000D7512" w:rsidP="000D7512">
      <w:pPr>
        <w:spacing w:line="360" w:lineRule="auto"/>
        <w:rPr>
          <w:del w:id="411" w:author="Author"/>
        </w:rPr>
      </w:pPr>
      <w:del w:id="412" w:author="Author">
        <w:r>
          <w:delText>Berkman ND, Sheridan SL, Donahue KE, Halpern DJ, Crotty K (2011) Low health literacy and health outcomes: an updated systematic review. Ann Intern Med 155:97-107. https://doi.org/10.7326/0003-4819-155-2-201107190-00005</w:delText>
        </w:r>
      </w:del>
    </w:p>
    <w:p w14:paraId="07614D1A" w14:textId="77777777" w:rsidR="00DC42D8" w:rsidRDefault="000D7512" w:rsidP="000D7512">
      <w:pPr>
        <w:spacing w:line="360" w:lineRule="auto"/>
      </w:pPr>
      <w:r>
        <w:t>Blatteis CM (2012) Age-dependent changes in temperature regulation - a mini review. Gerontology 58:289-295. https://doi.org/10.1159/000333148</w:t>
      </w:r>
    </w:p>
    <w:p w14:paraId="3AD7A1BB"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7D64611D" w14:textId="1AC35CBE" w:rsidR="00DC42D8" w:rsidRPr="00DA2D53" w:rsidRDefault="000D7512" w:rsidP="000D7512">
      <w:pPr>
        <w:spacing w:line="360" w:lineRule="auto"/>
        <w:rPr>
          <w:lang w:val="nb-NO"/>
        </w:rPr>
      </w:pPr>
      <w:r>
        <w:t>Bouchama A, Knochel JP (2002) Heat stroke. N Engl J Med 346:1978-1988. https://doi.org/10.1056/</w:t>
      </w:r>
      <w:del w:id="413" w:author="Author">
        <w:r w:rsidRPr="00DA2D53">
          <w:rPr>
            <w:lang w:val="nb-NO"/>
          </w:rPr>
          <w:delText>NEJMra011086</w:delText>
        </w:r>
      </w:del>
      <w:ins w:id="414" w:author="Author">
        <w:r>
          <w:t>NEJMra011089</w:t>
        </w:r>
      </w:ins>
    </w:p>
    <w:p w14:paraId="0EEEA21B"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73CD8FFE" w14:textId="53C9A4A3" w:rsidR="00DC42D8" w:rsidRDefault="000D7512" w:rsidP="000D7512">
      <w:pPr>
        <w:spacing w:line="360" w:lineRule="auto"/>
      </w:pPr>
      <w:r>
        <w:t>Conti S, Meli P, Minelli G, et al (2005) Epidemiologic study of mortality during the Summer 2003 heat wave in Italy. Environ Res 98:390-399. https://doi.org/10.1016/j.envres.2004.</w:t>
      </w:r>
      <w:del w:id="415" w:author="Author">
        <w:r>
          <w:delText>12</w:delText>
        </w:r>
      </w:del>
      <w:ins w:id="416" w:author="Author">
        <w:r>
          <w:t>10</w:t>
        </w:r>
      </w:ins>
      <w:r>
        <w:t>.009</w:t>
      </w:r>
    </w:p>
    <w:p w14:paraId="3019E73B" w14:textId="79BDE338" w:rsidR="00DC42D8" w:rsidRDefault="000D7512" w:rsidP="000D7512">
      <w:pPr>
        <w:spacing w:line="360" w:lineRule="auto"/>
      </w:pPr>
      <w:r>
        <w:t>Farbotko C, Waitt G (2011) Residential air-conditioning and climate change: voices of the vulnerable. Health Promot J Austr 22:13-15. https://doi.org/10.1071/</w:t>
      </w:r>
      <w:del w:id="417" w:author="Author">
        <w:r>
          <w:delText>HE10013</w:delText>
        </w:r>
      </w:del>
      <w:ins w:id="418" w:author="Author">
        <w:r>
          <w:t>HE11413</w:t>
        </w:r>
      </w:ins>
    </w:p>
    <w:p w14:paraId="6CC881E5"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632C289F"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301F5479" w14:textId="04C2CBAA"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19" w:author="Author">
        <w:r>
          <w:delText>1103532</w:delText>
        </w:r>
      </w:del>
      <w:ins w:id="420" w:author="Author">
        <w:r>
          <w:t>1104625</w:t>
        </w:r>
      </w:ins>
    </w:p>
    <w:p w14:paraId="3CF87156"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2220BFBE"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5D68AB25" w14:textId="77777777" w:rsidR="00DC42D8" w:rsidRDefault="000D7512" w:rsidP="000D7512">
      <w:pPr>
        <w:spacing w:line="360" w:lineRule="auto"/>
        <w:rPr>
          <w:ins w:id="421" w:author="Author"/>
        </w:rPr>
      </w:pPr>
      <w:ins w:id="422"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137AA374"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400BF706" w14:textId="77777777" w:rsidR="00DC42D8" w:rsidRDefault="000D7512" w:rsidP="000D7512">
      <w:pPr>
        <w:spacing w:line="360" w:lineRule="auto"/>
        <w:rPr>
          <w:del w:id="423" w:author="Author"/>
        </w:rPr>
      </w:pPr>
      <w:del w:id="424" w:author="Author">
        <w:r>
          <w:delText>Liljegren JC, Carhart RA, Lawday P, Tschopp S, Sharp R (2008) Modeling the wet bulb globe temperature using standard meteorological measurements. J Occup Environ Hyg 5:645-655. https://doi.org/10.1080/15459620802310770</w:delText>
        </w:r>
      </w:del>
    </w:p>
    <w:p w14:paraId="62DD5A07"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60D3A3EB" w14:textId="77777777" w:rsidR="00DC42D8" w:rsidRDefault="000D7512" w:rsidP="000D7512">
      <w:pPr>
        <w:spacing w:line="360" w:lineRule="auto"/>
      </w:pPr>
      <w:r>
        <w:t>Ministry of Internal Affairs and Communications (MIC) (2015) National Survey of Family Income and Expenditure 2014. Tokyo: MIC.</w:t>
      </w:r>
    </w:p>
    <w:p w14:paraId="3244655C"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04F13EFC" w14:textId="261078D9"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25" w:author="Author">
        <w:r>
          <w:delText>0267-9</w:delText>
        </w:r>
      </w:del>
      <w:ins w:id="426" w:author="Author">
        <w:r>
          <w:t>0221-2</w:t>
        </w:r>
      </w:ins>
    </w:p>
    <w:p w14:paraId="360A04BE" w14:textId="60F8E43D" w:rsidR="00DC42D8" w:rsidRDefault="000D7512" w:rsidP="000D7512">
      <w:pPr>
        <w:spacing w:line="360" w:lineRule="auto"/>
      </w:pPr>
      <w:r>
        <w:t>Naughton MP, Henderson A, Mirabelli MC, et al (2002) Heat-related mortality during a 1999 heat wave in Chicago. Am J Prev Med 22:221-227. https://doi.org/10.1016/S0749-3797(02)</w:t>
      </w:r>
      <w:del w:id="427" w:author="Author">
        <w:r>
          <w:delText>00414</w:delText>
        </w:r>
      </w:del>
      <w:ins w:id="428" w:author="Author">
        <w:r>
          <w:t>00421</w:t>
        </w:r>
      </w:ins>
      <w:r>
        <w:t>-X</w:t>
      </w:r>
    </w:p>
    <w:p w14:paraId="3964B388"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67483F52"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59B2219A"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21BFF19B" w14:textId="77777777" w:rsidR="00DC42D8" w:rsidRDefault="000D7512" w:rsidP="000D7512">
      <w:pPr>
        <w:spacing w:line="360" w:lineRule="auto"/>
      </w:pPr>
      <w:r>
        <w:t>Parsons K (2006) Heat stress standard ISO 7243 and its global application. Ind Health 44:368-379. https://doi.org/10.2486/indhealth.44.368</w:t>
      </w:r>
    </w:p>
    <w:p w14:paraId="4758D5F8" w14:textId="77777777" w:rsidR="00DC42D8" w:rsidRDefault="000D7512" w:rsidP="000D7512">
      <w:pPr>
        <w:spacing w:line="360" w:lineRule="auto"/>
        <w:rPr>
          <w:del w:id="429" w:author="Author"/>
        </w:rPr>
      </w:pPr>
      <w:del w:id="430" w:author="Author">
        <w:r>
          <w:delText>Patel T, Mullen SP, Santee WR (2013) Comparison of methods for estimating wet-bulb globe temperature index from standard meteorological measurements. Mil Med 178:926-933. https://doi.org/10.7205/MILMED-D-13-00117</w:delText>
        </w:r>
      </w:del>
    </w:p>
    <w:p w14:paraId="361574D2" w14:textId="77777777" w:rsidR="00DC42D8" w:rsidRDefault="000D7512" w:rsidP="000D7512">
      <w:pPr>
        <w:spacing w:line="360" w:lineRule="auto"/>
        <w:rPr>
          <w:del w:id="431" w:author="Author"/>
        </w:rPr>
      </w:pPr>
      <w:del w:id="432"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5BA486EC"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51D8EDBD"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702F5B14" w14:textId="77777777" w:rsidR="00DC42D8" w:rsidRDefault="000D7512" w:rsidP="000D7512">
      <w:pPr>
        <w:spacing w:line="360" w:lineRule="auto"/>
        <w:rPr>
          <w:del w:id="433" w:author="Author"/>
        </w:rPr>
      </w:pPr>
      <w:del w:id="434" w:author="Author">
        <w:r>
          <w:delText>Weisskopf MG, Anderson HA, Foldy S, et al (2002) Heat wave morbidity and mortality, Milwaukee, Wis, 1999 vs 1995: an improved response? Am J Public Health 92:830-833. https://doi.org/10.2105/AJPH.92.5.830</w:delText>
        </w:r>
      </w:del>
    </w:p>
    <w:p w14:paraId="0A255BF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410"/>
    <w:p w14:paraId="56466A5F" w14:textId="77777777" w:rsidR="00F82D81" w:rsidRDefault="000D7512" w:rsidP="000D7512">
      <w:pPr>
        <w:pStyle w:val="1"/>
        <w:spacing w:line="360" w:lineRule="auto"/>
      </w:pPr>
      <w:r>
        <w:t>Tables and Figures</w:t>
      </w:r>
    </w:p>
    <w:p w14:paraId="666BB592" w14:textId="77777777" w:rsidR="00F82D81" w:rsidRDefault="000D7512" w:rsidP="000D7512">
      <w:pPr>
        <w:pStyle w:val="2"/>
        <w:spacing w:line="360" w:lineRule="auto"/>
      </w:pPr>
      <w:bookmarkStart w:id="435"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2436"/>
        <w:gridCol w:w="958"/>
        <w:gridCol w:w="429"/>
        <w:gridCol w:w="1003"/>
        <w:gridCol w:w="1003"/>
        <w:gridCol w:w="1003"/>
        <w:gridCol w:w="1003"/>
        <w:gridCol w:w="1003"/>
      </w:tblGrid>
      <w:tr w:rsidR="00F82D81" w14:paraId="0D5A69C7"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2808" w:type="dxa"/>
          </w:tcPr>
          <w:p w14:paraId="4D2193EE" w14:textId="77777777" w:rsidR="00F82D81" w:rsidRDefault="000D7512" w:rsidP="000D7512">
            <w:pPr>
              <w:pStyle w:val="Compact"/>
              <w:spacing w:line="360" w:lineRule="auto"/>
            </w:pPr>
            <w:r>
              <w:rPr>
                <w:sz w:val="18"/>
                <w:highlight w:val="yellow"/>
              </w:rPr>
              <w:t>Variable</w:t>
            </w:r>
          </w:p>
        </w:tc>
        <w:tc>
          <w:tcPr>
            <w:tcW w:w="1080" w:type="dxa"/>
          </w:tcPr>
          <w:p w14:paraId="1C34EEE6" w14:textId="77777777" w:rsidR="00F82D81" w:rsidRDefault="000D7512" w:rsidP="000D7512">
            <w:pPr>
              <w:pStyle w:val="Compact"/>
              <w:spacing w:line="360" w:lineRule="auto"/>
            </w:pPr>
            <w:r>
              <w:rPr>
                <w:sz w:val="18"/>
                <w:highlight w:val="yellow"/>
              </w:rPr>
              <w:t>Unit</w:t>
            </w:r>
          </w:p>
        </w:tc>
        <w:tc>
          <w:tcPr>
            <w:tcW w:w="461" w:type="dxa"/>
          </w:tcPr>
          <w:p w14:paraId="35BDB470" w14:textId="77777777" w:rsidR="00F82D81" w:rsidRDefault="000D7512" w:rsidP="000D7512">
            <w:pPr>
              <w:pStyle w:val="Compact"/>
              <w:spacing w:line="360" w:lineRule="auto"/>
              <w:jc w:val="right"/>
            </w:pPr>
            <w:r>
              <w:rPr>
                <w:sz w:val="18"/>
                <w:highlight w:val="yellow"/>
              </w:rPr>
              <w:t>N</w:t>
            </w:r>
          </w:p>
        </w:tc>
        <w:tc>
          <w:tcPr>
            <w:tcW w:w="835" w:type="dxa"/>
          </w:tcPr>
          <w:p w14:paraId="49C00015" w14:textId="77777777" w:rsidR="00F82D81" w:rsidRDefault="000D7512" w:rsidP="000D7512">
            <w:pPr>
              <w:pStyle w:val="Compact"/>
              <w:spacing w:line="360" w:lineRule="auto"/>
              <w:jc w:val="right"/>
            </w:pPr>
            <w:r>
              <w:rPr>
                <w:sz w:val="18"/>
                <w:highlight w:val="yellow"/>
              </w:rPr>
              <w:t>Mean</w:t>
            </w:r>
          </w:p>
        </w:tc>
        <w:tc>
          <w:tcPr>
            <w:tcW w:w="792" w:type="dxa"/>
          </w:tcPr>
          <w:p w14:paraId="65D005D6" w14:textId="77777777" w:rsidR="00F82D81" w:rsidRDefault="000D7512" w:rsidP="000D7512">
            <w:pPr>
              <w:pStyle w:val="Compact"/>
              <w:spacing w:line="360" w:lineRule="auto"/>
              <w:jc w:val="right"/>
            </w:pPr>
            <w:r>
              <w:rPr>
                <w:sz w:val="18"/>
                <w:highlight w:val="yellow"/>
              </w:rPr>
              <w:t>SD</w:t>
            </w:r>
          </w:p>
        </w:tc>
        <w:tc>
          <w:tcPr>
            <w:tcW w:w="792" w:type="dxa"/>
          </w:tcPr>
          <w:p w14:paraId="787CC545" w14:textId="77777777" w:rsidR="00F82D81" w:rsidRDefault="000D7512" w:rsidP="000D7512">
            <w:pPr>
              <w:pStyle w:val="Compact"/>
              <w:spacing w:line="360" w:lineRule="auto"/>
              <w:jc w:val="right"/>
            </w:pPr>
            <w:r>
              <w:rPr>
                <w:sz w:val="18"/>
                <w:highlight w:val="yellow"/>
              </w:rPr>
              <w:t>Min</w:t>
            </w:r>
          </w:p>
        </w:tc>
        <w:tc>
          <w:tcPr>
            <w:tcW w:w="893" w:type="dxa"/>
          </w:tcPr>
          <w:p w14:paraId="65A8E2CC" w14:textId="77777777" w:rsidR="00F82D81" w:rsidRDefault="000D7512" w:rsidP="000D7512">
            <w:pPr>
              <w:pStyle w:val="Compact"/>
              <w:spacing w:line="360" w:lineRule="auto"/>
              <w:jc w:val="right"/>
            </w:pPr>
            <w:r>
              <w:rPr>
                <w:sz w:val="18"/>
                <w:highlight w:val="yellow"/>
              </w:rPr>
              <w:t>Median</w:t>
            </w:r>
          </w:p>
        </w:tc>
        <w:tc>
          <w:tcPr>
            <w:tcW w:w="936" w:type="dxa"/>
          </w:tcPr>
          <w:p w14:paraId="1B119A55" w14:textId="77777777" w:rsidR="00F82D81" w:rsidRDefault="000D7512" w:rsidP="000D7512">
            <w:pPr>
              <w:pStyle w:val="Compact"/>
              <w:spacing w:line="360" w:lineRule="auto"/>
              <w:jc w:val="right"/>
            </w:pPr>
            <w:r>
              <w:rPr>
                <w:sz w:val="18"/>
                <w:highlight w:val="yellow"/>
              </w:rPr>
              <w:t>Max</w:t>
            </w:r>
          </w:p>
        </w:tc>
      </w:tr>
      <w:tr w:rsidR="001B0846" w14:paraId="001BC662" w14:textId="77777777" w:rsidTr="001B0846">
        <w:tc>
          <w:tcPr>
            <w:tcW w:w="2808" w:type="dxa"/>
          </w:tcPr>
          <w:p w14:paraId="6098A1ED" w14:textId="77777777" w:rsidR="001B0846" w:rsidRDefault="00291DF5">
            <w:r>
              <w:rPr>
                <w:sz w:val="18"/>
                <w:highlight w:val="yellow"/>
              </w:rPr>
              <w:t>Outcome variable</w:t>
            </w:r>
          </w:p>
        </w:tc>
        <w:tc>
          <w:tcPr>
            <w:tcW w:w="1080" w:type="dxa"/>
          </w:tcPr>
          <w:p w14:paraId="5A88E87F" w14:textId="77777777" w:rsidR="001B0846" w:rsidRDefault="001B0846"/>
        </w:tc>
        <w:tc>
          <w:tcPr>
            <w:tcW w:w="461" w:type="dxa"/>
          </w:tcPr>
          <w:p w14:paraId="514C4373" w14:textId="77777777" w:rsidR="001B0846" w:rsidRDefault="001B0846"/>
        </w:tc>
        <w:tc>
          <w:tcPr>
            <w:tcW w:w="835" w:type="dxa"/>
          </w:tcPr>
          <w:p w14:paraId="75C48185" w14:textId="77777777" w:rsidR="001B0846" w:rsidRDefault="001B0846"/>
        </w:tc>
        <w:tc>
          <w:tcPr>
            <w:tcW w:w="792" w:type="dxa"/>
          </w:tcPr>
          <w:p w14:paraId="0EA9B6FE" w14:textId="77777777" w:rsidR="001B0846" w:rsidRDefault="001B0846"/>
        </w:tc>
        <w:tc>
          <w:tcPr>
            <w:tcW w:w="792" w:type="dxa"/>
          </w:tcPr>
          <w:p w14:paraId="1FDDE280" w14:textId="77777777" w:rsidR="001B0846" w:rsidRDefault="001B0846"/>
        </w:tc>
        <w:tc>
          <w:tcPr>
            <w:tcW w:w="893" w:type="dxa"/>
          </w:tcPr>
          <w:p w14:paraId="1E471322" w14:textId="77777777" w:rsidR="001B0846" w:rsidRDefault="001B0846"/>
        </w:tc>
        <w:tc>
          <w:tcPr>
            <w:tcW w:w="936" w:type="dxa"/>
          </w:tcPr>
          <w:p w14:paraId="27B5AF88" w14:textId="77777777" w:rsidR="001B0846" w:rsidRDefault="001B0846"/>
        </w:tc>
      </w:tr>
      <w:tr w:rsidR="001B0846" w14:paraId="0ABE2F5C" w14:textId="77777777" w:rsidTr="001B0846">
        <w:tc>
          <w:tcPr>
            <w:tcW w:w="2808" w:type="dxa"/>
          </w:tcPr>
          <w:p w14:paraId="44964623" w14:textId="3BA25755" w:rsidR="001B0846" w:rsidRDefault="000D7512">
            <w:r w:rsidR="00291DF5">
              <w:rPr>
                <w:sz w:val="18"/>
                <w:highlight w:val="yellow"/>
              </w:rPr>
              <w:t>Large-volume infusion</w:t>
            </w:r>
            <w:r w:rsidR="00291DF5">
              <w:rPr>
                <w:sz w:val="18"/>
                <w:highlight w:val="yellow"/>
              </w:rPr>
              <w:t xml:space="preserve"> therapy </w:t>
            </w:r>
            <w:r w:rsidR="00291DF5">
              <w:rPr>
                <w:sz w:val="18"/>
                <w:highlight w:val="yellow"/>
              </w:rPr>
              <w:t>utilization (G004, ≥</w:t>
            </w:r>
            <w:r w:rsidR="00291DF5">
              <w:rPr>
                <w:sz w:val="18"/>
                <w:highlight w:val="yellow"/>
              </w:rPr>
              <w:t>500 mL)</w:t>
            </w:r>
          </w:p>
        </w:tc>
        <w:tc>
          <w:tcPr>
            <w:tcW w:w="1080" w:type="dxa"/>
          </w:tcPr>
          <w:p w14:paraId="540D90D2" w14:textId="77777777" w:rsidR="001B0846" w:rsidRDefault="00291DF5">
            <w:r>
              <w:rPr>
                <w:sz w:val="18"/>
                <w:highlight w:val="yellow"/>
              </w:rPr>
              <w:t>per 100,000</w:t>
            </w:r>
          </w:p>
        </w:tc>
        <w:tc>
          <w:tcPr>
            <w:tcW w:w="461" w:type="dxa"/>
          </w:tcPr>
          <w:p w14:paraId="2779A3EE" w14:textId="77777777" w:rsidR="001B0846" w:rsidRDefault="00291DF5">
            <w:r>
              <w:rPr>
                <w:sz w:val="18"/>
                <w:highlight w:val="yellow"/>
              </w:rPr>
              <w:t>47</w:t>
            </w:r>
          </w:p>
        </w:tc>
        <w:tc>
          <w:tcPr>
            <w:tcW w:w="835" w:type="dxa"/>
          </w:tcPr>
          <w:p w14:paraId="00929A8F" w14:textId="5DFD18EA" w:rsidR="001B0846" w:rsidRDefault="00291DF5">
            <w:r>
              <w:rPr>
                <w:sz w:val="18"/>
                <w:highlight w:val="yellow"/>
              </w:rPr>
              <w:t>8,</w:t>
            </w:r>
            <w:r>
              <w:rPr>
                <w:sz w:val="18"/>
                <w:highlight w:val="yellow"/>
              </w:rPr>
              <w:t>022.2</w:t>
            </w:r>
          </w:p>
        </w:tc>
        <w:tc>
          <w:tcPr>
            <w:tcW w:w="792" w:type="dxa"/>
          </w:tcPr>
          <w:p w14:paraId="1340232A" w14:textId="51B1BC52" w:rsidR="001B0846" w:rsidRDefault="00291DF5">
            <w:r>
              <w:rPr>
                <w:sz w:val="18"/>
                <w:highlight w:val="yellow"/>
              </w:rPr>
              <w:t>2,</w:t>
            </w:r>
            <w:r>
              <w:rPr>
                <w:sz w:val="18"/>
                <w:highlight w:val="yellow"/>
              </w:rPr>
              <w:t>389.3</w:t>
            </w:r>
          </w:p>
        </w:tc>
        <w:tc>
          <w:tcPr>
            <w:tcW w:w="792" w:type="dxa"/>
          </w:tcPr>
          <w:p w14:paraId="1E91B31D" w14:textId="2A928489" w:rsidR="001B0846" w:rsidRDefault="00291DF5">
            <w:r>
              <w:rPr>
                <w:sz w:val="18"/>
                <w:highlight w:val="yellow"/>
              </w:rPr>
              <w:t>4,</w:t>
            </w:r>
            <w:r>
              <w:rPr>
                <w:sz w:val="18"/>
                <w:highlight w:val="yellow"/>
              </w:rPr>
              <w:t>231.3</w:t>
            </w:r>
          </w:p>
        </w:tc>
        <w:tc>
          <w:tcPr>
            <w:tcW w:w="893" w:type="dxa"/>
          </w:tcPr>
          <w:p w14:paraId="56912EFF" w14:textId="51F34114" w:rsidR="001B0846" w:rsidRDefault="00291DF5">
            <w:r>
              <w:rPr>
                <w:sz w:val="18"/>
                <w:highlight w:val="yellow"/>
              </w:rPr>
              <w:t>7,</w:t>
            </w:r>
            <w:r>
              <w:rPr>
                <w:sz w:val="18"/>
                <w:highlight w:val="yellow"/>
              </w:rPr>
              <w:t>608.7</w:t>
            </w:r>
          </w:p>
        </w:tc>
        <w:tc>
          <w:tcPr>
            <w:tcW w:w="936" w:type="dxa"/>
          </w:tcPr>
          <w:p w14:paraId="1AC4CB76" w14:textId="7C1476C7" w:rsidR="001B0846" w:rsidRDefault="00291DF5">
            <w:r>
              <w:rPr>
                <w:sz w:val="18"/>
                <w:highlight w:val="yellow"/>
              </w:rPr>
              <w:t>13,</w:t>
            </w:r>
            <w:r>
              <w:rPr>
                <w:sz w:val="18"/>
                <w:highlight w:val="yellow"/>
              </w:rPr>
              <w:t>234.1</w:t>
            </w:r>
          </w:p>
        </w:tc>
      </w:tr>
      <w:tr w:rsidR="001B0846" w14:paraId="0B17398D" w14:textId="77777777" w:rsidTr="001B0846">
        <w:tc>
          <w:tcPr>
            <w:tcW w:w="2808" w:type="dxa"/>
          </w:tcPr>
          <w:p w14:paraId="3D2B8675" w14:textId="77777777" w:rsidR="001B0846" w:rsidRDefault="00291DF5">
            <w:r>
              <w:rPr>
                <w:sz w:val="18"/>
                <w:highlight w:val="yellow"/>
              </w:rPr>
              <w:t>Exposure variable</w:t>
            </w:r>
          </w:p>
        </w:tc>
        <w:tc>
          <w:tcPr>
            <w:tcW w:w="1080" w:type="dxa"/>
          </w:tcPr>
          <w:p w14:paraId="49D20C85" w14:textId="77777777" w:rsidR="001B0846" w:rsidRDefault="001B0846"/>
        </w:tc>
        <w:tc>
          <w:tcPr>
            <w:tcW w:w="461" w:type="dxa"/>
          </w:tcPr>
          <w:p w14:paraId="1A37383D" w14:textId="77777777" w:rsidR="001B0846" w:rsidRDefault="001B0846"/>
        </w:tc>
        <w:tc>
          <w:tcPr>
            <w:tcW w:w="835" w:type="dxa"/>
          </w:tcPr>
          <w:p w14:paraId="5375418B" w14:textId="77777777" w:rsidR="001B0846" w:rsidRDefault="001B0846"/>
        </w:tc>
        <w:tc>
          <w:tcPr>
            <w:tcW w:w="792" w:type="dxa"/>
          </w:tcPr>
          <w:p w14:paraId="546052FA" w14:textId="77777777" w:rsidR="001B0846" w:rsidRDefault="001B0846"/>
        </w:tc>
        <w:tc>
          <w:tcPr>
            <w:tcW w:w="792" w:type="dxa"/>
          </w:tcPr>
          <w:p w14:paraId="0E5C26BA" w14:textId="77777777" w:rsidR="001B0846" w:rsidRDefault="001B0846"/>
        </w:tc>
        <w:tc>
          <w:tcPr>
            <w:tcW w:w="893" w:type="dxa"/>
          </w:tcPr>
          <w:p w14:paraId="00466240" w14:textId="77777777" w:rsidR="001B0846" w:rsidRDefault="001B0846"/>
        </w:tc>
        <w:tc>
          <w:tcPr>
            <w:tcW w:w="936" w:type="dxa"/>
          </w:tcPr>
          <w:p w14:paraId="2733D8F7" w14:textId="77777777" w:rsidR="001B0846" w:rsidRDefault="001B0846"/>
        </w:tc>
      </w:tr>
      <w:tr w:rsidR="001B0846" w14:paraId="32AD2C16" w14:textId="77777777" w:rsidTr="001B0846">
        <w:tc>
          <w:tcPr>
            <w:tcW w:w="2808" w:type="dxa"/>
          </w:tcPr>
          <w:p w14:paraId="15079278" w14:textId="77777777" w:rsidR="001B0846" w:rsidRDefault="00291DF5">
            <w:r>
              <w:rPr>
                <w:sz w:val="18"/>
                <w:highlight w:val="yellow"/>
              </w:rPr>
              <w:t>Elderly solo household rate</w:t>
            </w:r>
          </w:p>
        </w:tc>
        <w:tc>
          <w:tcPr>
            <w:tcW w:w="1080" w:type="dxa"/>
          </w:tcPr>
          <w:p w14:paraId="5E8ABA91" w14:textId="77777777" w:rsidR="001B0846" w:rsidRDefault="00291DF5">
            <w:r>
              <w:rPr>
                <w:sz w:val="18"/>
                <w:highlight w:val="yellow"/>
              </w:rPr>
              <w:t>%</w:t>
            </w:r>
          </w:p>
        </w:tc>
        <w:tc>
          <w:tcPr>
            <w:tcW w:w="461" w:type="dxa"/>
          </w:tcPr>
          <w:p w14:paraId="0B2436A1" w14:textId="77777777" w:rsidR="001B0846" w:rsidRDefault="00291DF5">
            <w:r>
              <w:rPr>
                <w:sz w:val="18"/>
                <w:highlight w:val="yellow"/>
              </w:rPr>
              <w:t>47</w:t>
            </w:r>
          </w:p>
        </w:tc>
        <w:tc>
          <w:tcPr>
            <w:tcW w:w="835" w:type="dxa"/>
          </w:tcPr>
          <w:p w14:paraId="07506BD3" w14:textId="77777777" w:rsidR="001B0846" w:rsidRDefault="00291DF5">
            <w:r>
              <w:rPr>
                <w:sz w:val="18"/>
                <w:highlight w:val="yellow"/>
              </w:rPr>
              <w:t>12.6</w:t>
            </w:r>
          </w:p>
        </w:tc>
        <w:tc>
          <w:tcPr>
            <w:tcW w:w="792" w:type="dxa"/>
          </w:tcPr>
          <w:p w14:paraId="33452D02" w14:textId="77777777" w:rsidR="001B0846" w:rsidRDefault="00291DF5">
            <w:r>
              <w:rPr>
                <w:sz w:val="18"/>
                <w:highlight w:val="yellow"/>
              </w:rPr>
              <w:t>1.9</w:t>
            </w:r>
          </w:p>
        </w:tc>
        <w:tc>
          <w:tcPr>
            <w:tcW w:w="792" w:type="dxa"/>
          </w:tcPr>
          <w:p w14:paraId="7FDC77C5" w14:textId="77777777" w:rsidR="001B0846" w:rsidRDefault="00291DF5">
            <w:r>
              <w:rPr>
                <w:sz w:val="18"/>
                <w:highlight w:val="yellow"/>
              </w:rPr>
              <w:t>9.4</w:t>
            </w:r>
          </w:p>
        </w:tc>
        <w:tc>
          <w:tcPr>
            <w:tcW w:w="893" w:type="dxa"/>
          </w:tcPr>
          <w:p w14:paraId="47EBBCCC" w14:textId="77777777" w:rsidR="001B0846" w:rsidRDefault="00291DF5">
            <w:r>
              <w:rPr>
                <w:sz w:val="18"/>
                <w:highlight w:val="yellow"/>
              </w:rPr>
              <w:t>12.3</w:t>
            </w:r>
          </w:p>
        </w:tc>
        <w:tc>
          <w:tcPr>
            <w:tcW w:w="936" w:type="dxa"/>
          </w:tcPr>
          <w:p w14:paraId="39B6BE3E" w14:textId="77777777" w:rsidR="001B0846" w:rsidRDefault="00291DF5">
            <w:r>
              <w:rPr>
                <w:sz w:val="18"/>
                <w:highlight w:val="yellow"/>
              </w:rPr>
              <w:t>17.8</w:t>
            </w:r>
          </w:p>
        </w:tc>
      </w:tr>
      <w:tr w:rsidR="001B0846" w14:paraId="469DEB39" w14:textId="77777777" w:rsidTr="001B0846">
        <w:trPr/>
        <w:tc>
          <w:tcPr>
            <w:tcW w:w="2808" w:type="dxa"/>
          </w:tcPr>
          <w:p w14:paraId="3881207C" w14:textId="77777777" w:rsidR="001B0846" w:rsidRDefault="00291DF5">
            <w:pPr>
              <w:rPr/>
            </w:pPr>
            <w:r>
              <w:rPr>
                <w:sz w:val="18"/>
                <w:highlight w:val="yellow"/>
              </w:rPr>
              <w:t>Alternative exposure (sensitivity) variable</w:t>
            </w:r>
          </w:p>
        </w:tc>
        <w:tc>
          <w:tcPr>
            <w:tcW w:w="1080" w:type="dxa"/>
          </w:tcPr>
          <w:p w14:paraId="4CC7FC61" w14:textId="77777777" w:rsidR="001B0846" w:rsidRDefault="001B0846">
            <w:pPr>
              <w:rPr/>
            </w:pPr>
          </w:p>
        </w:tc>
        <w:tc>
          <w:tcPr>
            <w:tcW w:w="461" w:type="dxa"/>
          </w:tcPr>
          <w:p w14:paraId="2F29EC15" w14:textId="77777777" w:rsidR="001B0846" w:rsidRDefault="001B0846">
            <w:pPr>
              <w:rPr/>
            </w:pPr>
          </w:p>
        </w:tc>
        <w:tc>
          <w:tcPr>
            <w:tcW w:w="835" w:type="dxa"/>
          </w:tcPr>
          <w:p w14:paraId="7652A91C" w14:textId="77777777" w:rsidR="001B0846" w:rsidRDefault="001B0846">
            <w:pPr>
              <w:rPr/>
            </w:pPr>
          </w:p>
        </w:tc>
        <w:tc>
          <w:tcPr>
            <w:tcW w:w="792" w:type="dxa"/>
          </w:tcPr>
          <w:p w14:paraId="5C2E7BF3" w14:textId="77777777" w:rsidR="001B0846" w:rsidRDefault="001B0846">
            <w:pPr>
              <w:rPr/>
            </w:pPr>
          </w:p>
        </w:tc>
        <w:tc>
          <w:tcPr>
            <w:tcW w:w="792" w:type="dxa"/>
          </w:tcPr>
          <w:p w14:paraId="7E55FEF4" w14:textId="77777777" w:rsidR="001B0846" w:rsidRDefault="001B0846">
            <w:pPr>
              <w:rPr/>
            </w:pPr>
          </w:p>
        </w:tc>
        <w:tc>
          <w:tcPr>
            <w:tcW w:w="893" w:type="dxa"/>
          </w:tcPr>
          <w:p w14:paraId="4422C323" w14:textId="77777777" w:rsidR="001B0846" w:rsidRDefault="001B0846">
            <w:pPr>
              <w:rPr/>
            </w:pPr>
          </w:p>
        </w:tc>
        <w:tc>
          <w:tcPr>
            <w:tcW w:w="936" w:type="dxa"/>
          </w:tcPr>
          <w:p w14:paraId="04A4F028" w14:textId="77777777" w:rsidR="001B0846" w:rsidRDefault="001B0846">
            <w:pPr>
              <w:rPr/>
            </w:pPr>
          </w:p>
        </w:tc>
      </w:tr>
      <w:tr w:rsidR="001B0846" w14:paraId="1A9CC12F" w14:textId="77777777" w:rsidTr="001B0846">
        <w:trPr/>
        <w:tc>
          <w:tcPr>
            <w:tcW w:w="2808" w:type="dxa"/>
          </w:tcPr>
          <w:p w14:paraId="3355C87E" w14:textId="77777777" w:rsidR="001B0846" w:rsidRDefault="00291DF5">
            <w:pPr>
              <w:rPr/>
            </w:pPr>
            <w:r>
              <w:rPr>
                <w:sz w:val="18"/>
                <w:highlight w:val="yellow"/>
              </w:rPr>
              <w:t>% of population aged ≥65 living alone</w:t>
            </w:r>
          </w:p>
        </w:tc>
        <w:tc>
          <w:tcPr>
            <w:tcW w:w="1080" w:type="dxa"/>
          </w:tcPr>
          <w:p w14:paraId="7CF95AFE" w14:textId="77777777" w:rsidR="001B0846" w:rsidRDefault="00291DF5">
            <w:pPr>
              <w:rPr/>
            </w:pPr>
            <w:r>
              <w:rPr>
                <w:sz w:val="18"/>
                <w:highlight w:val="yellow"/>
              </w:rPr>
              <w:t>%</w:t>
            </w:r>
          </w:p>
        </w:tc>
        <w:tc>
          <w:tcPr>
            <w:tcW w:w="461" w:type="dxa"/>
          </w:tcPr>
          <w:p w14:paraId="0524BE95" w14:textId="77777777" w:rsidR="001B0846" w:rsidRDefault="00291DF5">
            <w:pPr>
              <w:rPr/>
            </w:pPr>
            <w:r>
              <w:rPr>
                <w:sz w:val="18"/>
                <w:highlight w:val="yellow"/>
              </w:rPr>
              <w:t>47</w:t>
            </w:r>
          </w:p>
        </w:tc>
        <w:tc>
          <w:tcPr>
            <w:tcW w:w="835" w:type="dxa"/>
          </w:tcPr>
          <w:p w14:paraId="6DB01ACA" w14:textId="77777777" w:rsidR="001B0846" w:rsidRDefault="00291DF5">
            <w:pPr>
              <w:rPr/>
            </w:pPr>
            <w:r>
              <w:rPr>
                <w:sz w:val="18"/>
                <w:highlight w:val="yellow"/>
              </w:rPr>
              <w:t>17.7</w:t>
            </w:r>
          </w:p>
        </w:tc>
        <w:tc>
          <w:tcPr>
            <w:tcW w:w="792" w:type="dxa"/>
          </w:tcPr>
          <w:p w14:paraId="1800AE39" w14:textId="77777777" w:rsidR="001B0846" w:rsidRDefault="00291DF5">
            <w:pPr>
              <w:rPr/>
            </w:pPr>
            <w:r>
              <w:rPr>
                <w:sz w:val="18"/>
                <w:highlight w:val="yellow"/>
              </w:rPr>
              <w:t>3.1</w:t>
            </w:r>
          </w:p>
        </w:tc>
        <w:tc>
          <w:tcPr>
            <w:tcW w:w="792" w:type="dxa"/>
          </w:tcPr>
          <w:p w14:paraId="6D28777A" w14:textId="77777777" w:rsidR="001B0846" w:rsidRDefault="00291DF5">
            <w:pPr>
              <w:rPr/>
            </w:pPr>
            <w:r>
              <w:rPr>
                <w:sz w:val="18"/>
                <w:highlight w:val="yellow"/>
              </w:rPr>
              <w:t>12.1</w:t>
            </w:r>
          </w:p>
        </w:tc>
        <w:tc>
          <w:tcPr>
            <w:tcW w:w="893" w:type="dxa"/>
          </w:tcPr>
          <w:p w14:paraId="447C7B0E" w14:textId="77777777" w:rsidR="001B0846" w:rsidRDefault="00291DF5">
            <w:pPr>
              <w:rPr/>
            </w:pPr>
            <w:r>
              <w:rPr>
                <w:sz w:val="18"/>
                <w:highlight w:val="yellow"/>
              </w:rPr>
              <w:t>17.1</w:t>
            </w:r>
          </w:p>
        </w:tc>
        <w:tc>
          <w:tcPr>
            <w:tcW w:w="936" w:type="dxa"/>
          </w:tcPr>
          <w:p w14:paraId="7689AC1D" w14:textId="77777777" w:rsidR="001B0846" w:rsidRDefault="00291DF5">
            <w:pPr>
              <w:rPr/>
            </w:pPr>
            <w:r>
              <w:rPr>
                <w:sz w:val="18"/>
                <w:highlight w:val="yellow"/>
              </w:rPr>
              <w:t>26.1</w:t>
            </w:r>
          </w:p>
        </w:tc>
      </w:tr>
      <w:tr w:rsidR="001B0846" w14:paraId="79996F4A" w14:textId="77777777" w:rsidTr="001B0846">
        <w:trPr/>
        <w:tc>
          <w:tcPr>
            <w:tcW w:w="2808" w:type="dxa"/>
          </w:tcPr>
          <w:p w14:paraId="0AABEA3D" w14:textId="77777777" w:rsidR="001B0846" w:rsidRDefault="00291DF5">
            <w:pPr>
              <w:rPr/>
            </w:pPr>
            <w:r>
              <w:rPr>
                <w:sz w:val="18"/>
                <w:highlight w:val="yellow"/>
              </w:rPr>
              <w:t>Adjustment variables</w:t>
            </w:r>
          </w:p>
        </w:tc>
        <w:tc>
          <w:tcPr>
            <w:tcW w:w="1080" w:type="dxa"/>
          </w:tcPr>
          <w:p w14:paraId="0045E88D" w14:textId="77777777" w:rsidR="001B0846" w:rsidRDefault="001B0846">
            <w:pPr>
              <w:rPr/>
            </w:pPr>
          </w:p>
        </w:tc>
        <w:tc>
          <w:tcPr>
            <w:tcW w:w="461" w:type="dxa"/>
          </w:tcPr>
          <w:p w14:paraId="14F71A27" w14:textId="77777777" w:rsidR="001B0846" w:rsidRDefault="001B0846">
            <w:pPr>
              <w:rPr/>
            </w:pPr>
          </w:p>
        </w:tc>
        <w:tc>
          <w:tcPr>
            <w:tcW w:w="835" w:type="dxa"/>
          </w:tcPr>
          <w:p w14:paraId="66B31518" w14:textId="77777777" w:rsidR="001B0846" w:rsidRDefault="001B0846">
            <w:pPr>
              <w:rPr/>
            </w:pPr>
          </w:p>
        </w:tc>
        <w:tc>
          <w:tcPr>
            <w:tcW w:w="792" w:type="dxa"/>
          </w:tcPr>
          <w:p w14:paraId="7F3D3A80" w14:textId="77777777" w:rsidR="001B0846" w:rsidRDefault="001B0846">
            <w:pPr>
              <w:rPr/>
            </w:pPr>
          </w:p>
        </w:tc>
        <w:tc>
          <w:tcPr>
            <w:tcW w:w="792" w:type="dxa"/>
          </w:tcPr>
          <w:p w14:paraId="6AFA2B6C" w14:textId="77777777" w:rsidR="001B0846" w:rsidRDefault="001B0846">
            <w:pPr>
              <w:rPr/>
            </w:pPr>
          </w:p>
        </w:tc>
        <w:tc>
          <w:tcPr>
            <w:tcW w:w="893" w:type="dxa"/>
          </w:tcPr>
          <w:p w14:paraId="1A60AFDE" w14:textId="77777777" w:rsidR="001B0846" w:rsidRDefault="001B0846">
            <w:pPr>
              <w:rPr/>
            </w:pPr>
          </w:p>
        </w:tc>
        <w:tc>
          <w:tcPr>
            <w:tcW w:w="936" w:type="dxa"/>
          </w:tcPr>
          <w:p w14:paraId="0A47A534" w14:textId="77777777" w:rsidR="001B0846" w:rsidRDefault="001B0846">
            <w:pPr>
              <w:rPr/>
            </w:pPr>
          </w:p>
        </w:tc>
      </w:tr>
      <w:tr w:rsidR="001B0846" w14:paraId="1380066E" w14:textId="77777777" w:rsidTr="001B0846">
        <w:trPr/>
        <w:tc>
          <w:tcPr>
            <w:tcW w:w="2808" w:type="dxa"/>
          </w:tcPr>
          <w:p w14:paraId="0E4F5AF4" w14:textId="77777777" w:rsidR="001B0846" w:rsidRDefault="00291DF5">
            <w:pPr>
              <w:rPr/>
            </w:pPr>
            <w:r>
              <w:rPr>
                <w:sz w:val="18"/>
                <w:highlight w:val="yellow"/>
              </w:rPr>
              <w:t>Prefectural ageing rate</w:t>
            </w:r>
          </w:p>
        </w:tc>
        <w:tc>
          <w:tcPr>
            <w:tcW w:w="1080" w:type="dxa"/>
          </w:tcPr>
          <w:p w14:paraId="1560F9DE" w14:textId="77777777" w:rsidR="001B0846" w:rsidRDefault="00291DF5">
            <w:pPr>
              <w:rPr/>
            </w:pPr>
            <w:r>
              <w:rPr>
                <w:sz w:val="18"/>
                <w:highlight w:val="yellow"/>
              </w:rPr>
              <w:t>%</w:t>
            </w:r>
          </w:p>
        </w:tc>
        <w:tc>
          <w:tcPr>
            <w:tcW w:w="461" w:type="dxa"/>
          </w:tcPr>
          <w:p w14:paraId="445E681B" w14:textId="77777777" w:rsidR="001B0846" w:rsidRDefault="00291DF5">
            <w:pPr>
              <w:rPr/>
            </w:pPr>
            <w:r>
              <w:rPr>
                <w:sz w:val="18"/>
                <w:highlight w:val="yellow"/>
              </w:rPr>
              <w:t>47</w:t>
            </w:r>
          </w:p>
        </w:tc>
        <w:tc>
          <w:tcPr>
            <w:tcW w:w="835" w:type="dxa"/>
          </w:tcPr>
          <w:p w14:paraId="74CC9EF5" w14:textId="77777777" w:rsidR="001B0846" w:rsidRDefault="00291DF5">
            <w:pPr>
              <w:rPr/>
            </w:pPr>
            <w:r>
              <w:rPr>
                <w:sz w:val="18"/>
                <w:highlight w:val="yellow"/>
              </w:rPr>
              <w:t>31.6</w:t>
            </w:r>
          </w:p>
        </w:tc>
        <w:tc>
          <w:tcPr>
            <w:tcW w:w="792" w:type="dxa"/>
          </w:tcPr>
          <w:p w14:paraId="68FB2452" w14:textId="77777777" w:rsidR="001B0846" w:rsidRDefault="00291DF5">
            <w:pPr>
              <w:rPr/>
            </w:pPr>
            <w:r>
              <w:rPr>
                <w:sz w:val="18"/>
                <w:highlight w:val="yellow"/>
              </w:rPr>
              <w:t>3.3</w:t>
            </w:r>
          </w:p>
        </w:tc>
        <w:tc>
          <w:tcPr>
            <w:tcW w:w="792" w:type="dxa"/>
          </w:tcPr>
          <w:p w14:paraId="05AD5FCB" w14:textId="77777777" w:rsidR="001B0846" w:rsidRDefault="00291DF5">
            <w:pPr>
              <w:rPr/>
            </w:pPr>
            <w:r>
              <w:rPr>
                <w:sz w:val="18"/>
                <w:highlight w:val="yellow"/>
              </w:rPr>
              <w:t>22.8</w:t>
            </w:r>
          </w:p>
        </w:tc>
        <w:tc>
          <w:tcPr>
            <w:tcW w:w="893" w:type="dxa"/>
          </w:tcPr>
          <w:p w14:paraId="6740A7D7" w14:textId="77777777" w:rsidR="001B0846" w:rsidRDefault="00291DF5">
            <w:pPr>
              <w:rPr/>
            </w:pPr>
            <w:r>
              <w:rPr>
                <w:sz w:val="18"/>
                <w:highlight w:val="yellow"/>
              </w:rPr>
              <w:t>31.7</w:t>
            </w:r>
          </w:p>
        </w:tc>
        <w:tc>
          <w:tcPr>
            <w:tcW w:w="936" w:type="dxa"/>
          </w:tcPr>
          <w:p w14:paraId="3673CCAE" w14:textId="77777777" w:rsidR="001B0846" w:rsidRDefault="00291DF5">
            <w:pPr>
              <w:rPr/>
            </w:pPr>
            <w:r>
              <w:rPr>
                <w:sz w:val="18"/>
                <w:highlight w:val="yellow"/>
              </w:rPr>
              <w:t>39.0</w:t>
            </w:r>
          </w:p>
        </w:tc>
      </w:tr>
      <w:tr w:rsidR="001B0846" w14:paraId="40D1572A" w14:textId="77777777" w:rsidTr="001B0846">
        <w:trPr/>
        <w:tc>
          <w:tcPr>
            <w:tcW w:w="2808" w:type="dxa"/>
          </w:tcPr>
          <w:p w14:paraId="31836DEC" w14:textId="77777777" w:rsidR="001B0846" w:rsidRDefault="00291DF5">
            <w:pPr>
              <w:rPr/>
            </w:pPr>
            <w:r>
              <w:rPr>
                <w:sz w:val="18"/>
                <w:highlight w:val="yellow"/>
              </w:rPr>
              <w:t>General hospital beds</w:t>
            </w:r>
          </w:p>
        </w:tc>
        <w:tc>
          <w:tcPr>
            <w:tcW w:w="1080" w:type="dxa"/>
          </w:tcPr>
          <w:p w14:paraId="1A1CC6E9" w14:textId="77777777" w:rsidR="001B0846" w:rsidRDefault="00291DF5">
            <w:pPr>
              <w:rPr/>
            </w:pPr>
            <w:r>
              <w:rPr>
                <w:sz w:val="18"/>
                <w:highlight w:val="yellow"/>
              </w:rPr>
              <w:t>per 100,000</w:t>
            </w:r>
          </w:p>
        </w:tc>
        <w:tc>
          <w:tcPr>
            <w:tcW w:w="461" w:type="dxa"/>
          </w:tcPr>
          <w:p w14:paraId="5D0799C1" w14:textId="77777777" w:rsidR="001B0846" w:rsidRDefault="00291DF5">
            <w:pPr>
              <w:rPr/>
            </w:pPr>
            <w:r>
              <w:rPr>
                <w:sz w:val="18"/>
                <w:highlight w:val="yellow"/>
              </w:rPr>
              <w:t>47</w:t>
            </w:r>
          </w:p>
        </w:tc>
        <w:tc>
          <w:tcPr>
            <w:tcW w:w="835" w:type="dxa"/>
          </w:tcPr>
          <w:p w14:paraId="07A27B66" w14:textId="77777777" w:rsidR="001B0846" w:rsidRDefault="00291DF5">
            <w:pPr>
              <w:rPr/>
            </w:pPr>
            <w:r>
              <w:rPr>
                <w:sz w:val="18"/>
                <w:highlight w:val="yellow"/>
              </w:rPr>
              <w:t>794.2</w:t>
            </w:r>
          </w:p>
        </w:tc>
        <w:tc>
          <w:tcPr>
            <w:tcW w:w="792" w:type="dxa"/>
          </w:tcPr>
          <w:p w14:paraId="7F64BC50" w14:textId="77777777" w:rsidR="001B0846" w:rsidRDefault="00291DF5">
            <w:pPr>
              <w:rPr/>
            </w:pPr>
            <w:r>
              <w:rPr>
                <w:sz w:val="18"/>
                <w:highlight w:val="yellow"/>
              </w:rPr>
              <w:t>148.5</w:t>
            </w:r>
          </w:p>
        </w:tc>
        <w:tc>
          <w:tcPr>
            <w:tcW w:w="792" w:type="dxa"/>
          </w:tcPr>
          <w:p w14:paraId="5699351C" w14:textId="77777777" w:rsidR="001B0846" w:rsidRDefault="00291DF5">
            <w:pPr>
              <w:rPr/>
            </w:pPr>
            <w:r>
              <w:rPr>
                <w:sz w:val="18"/>
                <w:highlight w:val="yellow"/>
              </w:rPr>
              <w:t>508.7</w:t>
            </w:r>
          </w:p>
        </w:tc>
        <w:tc>
          <w:tcPr>
            <w:tcW w:w="893" w:type="dxa"/>
          </w:tcPr>
          <w:p w14:paraId="4E974A50" w14:textId="77777777" w:rsidR="001B0846" w:rsidRDefault="00291DF5">
            <w:pPr>
              <w:rPr/>
            </w:pPr>
            <w:r>
              <w:rPr>
                <w:sz w:val="18"/>
                <w:highlight w:val="yellow"/>
              </w:rPr>
              <w:t>800.3</w:t>
            </w:r>
          </w:p>
        </w:tc>
        <w:tc>
          <w:tcPr>
            <w:tcW w:w="936" w:type="dxa"/>
          </w:tcPr>
          <w:p w14:paraId="1D0AC26B" w14:textId="77777777" w:rsidR="001B0846" w:rsidRDefault="00291DF5">
            <w:pPr>
              <w:rPr/>
            </w:pPr>
            <w:r>
              <w:rPr>
                <w:sz w:val="18"/>
                <w:highlight w:val="yellow"/>
              </w:rPr>
              <w:t>1,146.5</w:t>
            </w:r>
          </w:p>
        </w:tc>
      </w:tr>
      <w:tr w:rsidR="001B0846" w14:paraId="3E73F841" w14:textId="77777777" w:rsidTr="001B0846">
        <w:trPr/>
        <w:tc>
          <w:tcPr>
            <w:tcW w:w="2808" w:type="dxa"/>
          </w:tcPr>
          <w:p w14:paraId="3A09CD5C" w14:textId="77777777" w:rsidR="001B0846" w:rsidRDefault="00291DF5">
            <w:pPr>
              <w:rPr/>
            </w:pPr>
            <w:r>
              <w:rPr>
                <w:sz w:val="18"/>
                <w:highlight w:val="yellow"/>
              </w:rPr>
              <w:t>General clinics (sensitivity)</w:t>
            </w:r>
          </w:p>
        </w:tc>
        <w:tc>
          <w:tcPr>
            <w:tcW w:w="1080" w:type="dxa"/>
          </w:tcPr>
          <w:p w14:paraId="251819DD" w14:textId="77777777" w:rsidR="001B0846" w:rsidRDefault="00291DF5">
            <w:pPr>
              <w:rPr/>
            </w:pPr>
            <w:r>
              <w:rPr>
                <w:sz w:val="18"/>
                <w:highlight w:val="yellow"/>
              </w:rPr>
              <w:t>per 100,000</w:t>
            </w:r>
          </w:p>
        </w:tc>
        <w:tc>
          <w:tcPr>
            <w:tcW w:w="461" w:type="dxa"/>
          </w:tcPr>
          <w:p w14:paraId="28A50C27" w14:textId="77777777" w:rsidR="001B0846" w:rsidRDefault="00291DF5">
            <w:pPr>
              <w:rPr/>
            </w:pPr>
            <w:r>
              <w:rPr>
                <w:sz w:val="18"/>
                <w:highlight w:val="yellow"/>
              </w:rPr>
              <w:t>47</w:t>
            </w:r>
          </w:p>
        </w:tc>
        <w:tc>
          <w:tcPr>
            <w:tcW w:w="835" w:type="dxa"/>
          </w:tcPr>
          <w:p w14:paraId="5ECFF7FA" w14:textId="77777777" w:rsidR="001B0846" w:rsidRDefault="00291DF5">
            <w:pPr>
              <w:rPr/>
            </w:pPr>
            <w:r>
              <w:rPr>
                <w:sz w:val="18"/>
                <w:highlight w:val="yellow"/>
              </w:rPr>
              <w:t>84.5</w:t>
            </w:r>
          </w:p>
        </w:tc>
        <w:tc>
          <w:tcPr>
            <w:tcW w:w="792" w:type="dxa"/>
          </w:tcPr>
          <w:p w14:paraId="6B691A6B" w14:textId="77777777" w:rsidR="001B0846" w:rsidRDefault="00291DF5">
            <w:pPr>
              <w:rPr/>
            </w:pPr>
            <w:r>
              <w:rPr>
                <w:sz w:val="18"/>
                <w:highlight w:val="yellow"/>
              </w:rPr>
              <w:t>11.9</w:t>
            </w:r>
          </w:p>
        </w:tc>
        <w:tc>
          <w:tcPr>
            <w:tcW w:w="792" w:type="dxa"/>
          </w:tcPr>
          <w:p w14:paraId="3A276A97" w14:textId="77777777" w:rsidR="001B0846" w:rsidRDefault="00291DF5">
            <w:pPr>
              <w:rPr/>
            </w:pPr>
            <w:r>
              <w:rPr>
                <w:sz w:val="18"/>
                <w:highlight w:val="yellow"/>
              </w:rPr>
              <w:t>61.8</w:t>
            </w:r>
          </w:p>
        </w:tc>
        <w:tc>
          <w:tcPr>
            <w:tcW w:w="893" w:type="dxa"/>
          </w:tcPr>
          <w:p w14:paraId="1530F61B" w14:textId="77777777" w:rsidR="001B0846" w:rsidRDefault="00291DF5">
            <w:pPr>
              <w:rPr/>
            </w:pPr>
            <w:r>
              <w:rPr>
                <w:sz w:val="18"/>
                <w:highlight w:val="yellow"/>
              </w:rPr>
              <w:t>85.9</w:t>
            </w:r>
          </w:p>
        </w:tc>
        <w:tc>
          <w:tcPr>
            <w:tcW w:w="936" w:type="dxa"/>
          </w:tcPr>
          <w:p w14:paraId="125E15B8" w14:textId="77777777" w:rsidR="001B0846" w:rsidRDefault="00291DF5">
            <w:pPr>
              <w:rPr/>
            </w:pPr>
            <w:r>
              <w:rPr>
                <w:sz w:val="18"/>
                <w:highlight w:val="yellow"/>
              </w:rPr>
              <w:t>113.0</w:t>
            </w:r>
          </w:p>
        </w:tc>
      </w:tr>
      <w:tr w:rsidR="001B0846" w14:paraId="7127FA57" w14:textId="77777777" w:rsidTr="001B0846">
        <w:tc>
          <w:tcPr>
            <w:tcW w:w="2808" w:type="dxa"/>
          </w:tcPr>
          <w:p w14:paraId="0207A93D" w14:textId="77777777" w:rsidR="001B0846" w:rsidRDefault="00291DF5">
            <w:r>
              <w:rPr>
                <w:sz w:val="18"/>
                <w:highlight w:val="yellow"/>
              </w:rPr>
              <w:t>Climatic variables</w:t>
            </w:r>
          </w:p>
        </w:tc>
        <w:tc>
          <w:tcPr>
            <w:tcW w:w="1080" w:type="dxa"/>
          </w:tcPr>
          <w:p w14:paraId="7AF4318B" w14:textId="77777777" w:rsidR="001B0846" w:rsidRDefault="001B0846"/>
        </w:tc>
        <w:tc>
          <w:tcPr>
            <w:tcW w:w="461" w:type="dxa"/>
          </w:tcPr>
          <w:p w14:paraId="051D9E08" w14:textId="77777777" w:rsidR="001B0846" w:rsidRDefault="001B0846"/>
        </w:tc>
        <w:tc>
          <w:tcPr>
            <w:tcW w:w="835" w:type="dxa"/>
          </w:tcPr>
          <w:p w14:paraId="5C445F1D" w14:textId="77777777" w:rsidR="001B0846" w:rsidRDefault="001B0846"/>
        </w:tc>
        <w:tc>
          <w:tcPr>
            <w:tcW w:w="792" w:type="dxa"/>
          </w:tcPr>
          <w:p w14:paraId="4601BCF1" w14:textId="77777777" w:rsidR="001B0846" w:rsidRDefault="001B0846"/>
        </w:tc>
        <w:tc>
          <w:tcPr>
            <w:tcW w:w="792" w:type="dxa"/>
          </w:tcPr>
          <w:p w14:paraId="4BBA487C" w14:textId="77777777" w:rsidR="001B0846" w:rsidRDefault="001B0846"/>
        </w:tc>
        <w:tc>
          <w:tcPr>
            <w:tcW w:w="893" w:type="dxa"/>
          </w:tcPr>
          <w:p w14:paraId="447B9C35" w14:textId="77777777" w:rsidR="001B0846" w:rsidRDefault="001B0846"/>
        </w:tc>
        <w:tc>
          <w:tcPr>
            <w:tcW w:w="936" w:type="dxa"/>
          </w:tcPr>
          <w:p w14:paraId="55246AF4" w14:textId="77777777" w:rsidR="001B0846" w:rsidRDefault="001B0846"/>
        </w:tc>
      </w:tr>
      <w:tr w:rsidR="001B0846" w14:paraId="40755139" w14:textId="77777777" w:rsidTr="001B0846">
        <w:trPr/>
        <w:tc>
          <w:tcPr>
            <w:tcW w:w="2808" w:type="dxa"/>
          </w:tcPr>
          <w:p w14:paraId="25BBC46F" w14:textId="77777777" w:rsidR="001B0846" w:rsidRDefault="00291DF5">
            <w:pPr>
              <w:rPr/>
            </w:pPr>
            <w:r>
              <w:rPr>
                <w:sz w:val="18"/>
                <w:highlight w:val="yellow"/>
              </w:rPr>
              <w:t>Days with WBGT ≥28°C (official, primary)</w:t>
            </w:r>
          </w:p>
        </w:tc>
        <w:tc>
          <w:tcPr>
            <w:tcW w:w="1080" w:type="dxa"/>
          </w:tcPr>
          <w:p w14:paraId="2F6B8E4C" w14:textId="77777777" w:rsidR="001B0846" w:rsidRDefault="00291DF5">
            <w:pPr>
              <w:rPr/>
            </w:pPr>
            <w:r>
              <w:rPr>
                <w:sz w:val="18"/>
                <w:highlight w:val="yellow"/>
              </w:rPr>
              <w:t>days</w:t>
            </w:r>
          </w:p>
        </w:tc>
        <w:tc>
          <w:tcPr>
            <w:tcW w:w="461" w:type="dxa"/>
          </w:tcPr>
          <w:p w14:paraId="4C3EC762" w14:textId="77777777" w:rsidR="001B0846" w:rsidRDefault="00291DF5">
            <w:pPr>
              <w:rPr/>
            </w:pPr>
            <w:r>
              <w:rPr>
                <w:sz w:val="18"/>
                <w:highlight w:val="yellow"/>
              </w:rPr>
              <w:t>47</w:t>
            </w:r>
          </w:p>
        </w:tc>
        <w:tc>
          <w:tcPr>
            <w:tcW w:w="835" w:type="dxa"/>
          </w:tcPr>
          <w:p w14:paraId="1F73E946" w14:textId="77777777" w:rsidR="001B0846" w:rsidRDefault="00291DF5">
            <w:pPr>
              <w:rPr/>
            </w:pPr>
            <w:r>
              <w:rPr>
                <w:sz w:val="18"/>
                <w:highlight w:val="yellow"/>
              </w:rPr>
              <w:t>72.9</w:t>
            </w:r>
          </w:p>
        </w:tc>
        <w:tc>
          <w:tcPr>
            <w:tcW w:w="792" w:type="dxa"/>
          </w:tcPr>
          <w:p w14:paraId="3CC8E0C5" w14:textId="77777777" w:rsidR="001B0846" w:rsidRDefault="00291DF5">
            <w:pPr>
              <w:rPr/>
            </w:pPr>
            <w:r>
              <w:rPr>
                <w:sz w:val="18"/>
                <w:highlight w:val="yellow"/>
              </w:rPr>
              <w:t>14.1</w:t>
            </w:r>
          </w:p>
        </w:tc>
        <w:tc>
          <w:tcPr>
            <w:tcW w:w="792" w:type="dxa"/>
          </w:tcPr>
          <w:p w14:paraId="0163C434" w14:textId="77777777" w:rsidR="001B0846" w:rsidRDefault="00291DF5">
            <w:pPr>
              <w:rPr/>
            </w:pPr>
            <w:r>
              <w:rPr>
                <w:sz w:val="18"/>
                <w:highlight w:val="yellow"/>
              </w:rPr>
              <w:t>27.3</w:t>
            </w:r>
          </w:p>
        </w:tc>
        <w:tc>
          <w:tcPr>
            <w:tcW w:w="893" w:type="dxa"/>
          </w:tcPr>
          <w:p w14:paraId="6B6AC22D" w14:textId="77777777" w:rsidR="001B0846" w:rsidRDefault="00291DF5">
            <w:pPr>
              <w:rPr/>
            </w:pPr>
            <w:r>
              <w:rPr>
                <w:sz w:val="18"/>
                <w:highlight w:val="yellow"/>
              </w:rPr>
              <w:t>74.7</w:t>
            </w:r>
          </w:p>
        </w:tc>
        <w:tc>
          <w:tcPr>
            <w:tcW w:w="936" w:type="dxa"/>
          </w:tcPr>
          <w:p w14:paraId="79A81688" w14:textId="77777777" w:rsidR="001B0846" w:rsidRDefault="00291DF5">
            <w:pPr>
              <w:rPr/>
            </w:pPr>
            <w:r>
              <w:rPr>
                <w:sz w:val="18"/>
                <w:highlight w:val="yellow"/>
              </w:rPr>
              <w:t>112.3</w:t>
            </w:r>
          </w:p>
        </w:tc>
      </w:tr>
      <w:tr w:rsidR="001B0846" w14:paraId="0E93AEAE" w14:textId="77777777" w:rsidTr="001B0846">
        <w:trPr/>
        <w:tc>
          <w:tcPr>
            <w:tcW w:w="2808" w:type="dxa"/>
          </w:tcPr>
          <w:p w14:paraId="6FB9CE3F" w14:textId="77777777" w:rsidR="001B0846" w:rsidRDefault="00291DF5">
            <w:pPr>
              <w:rPr/>
            </w:pPr>
            <w:r>
              <w:rPr>
                <w:sz w:val="18"/>
                <w:highlight w:val="yellow"/>
              </w:rPr>
              <w:t>Days with WBGT ≥31°C (sensitivity)</w:t>
            </w:r>
          </w:p>
        </w:tc>
        <w:tc>
          <w:tcPr>
            <w:tcW w:w="1080" w:type="dxa"/>
          </w:tcPr>
          <w:p w14:paraId="462A3F39" w14:textId="77777777" w:rsidR="001B0846" w:rsidRDefault="00291DF5">
            <w:pPr>
              <w:rPr/>
            </w:pPr>
            <w:r>
              <w:rPr>
                <w:sz w:val="18"/>
                <w:highlight w:val="yellow"/>
              </w:rPr>
              <w:t>days</w:t>
            </w:r>
          </w:p>
        </w:tc>
        <w:tc>
          <w:tcPr>
            <w:tcW w:w="461" w:type="dxa"/>
          </w:tcPr>
          <w:p w14:paraId="5DC83CC1" w14:textId="77777777" w:rsidR="001B0846" w:rsidRDefault="00291DF5">
            <w:pPr>
              <w:rPr/>
            </w:pPr>
            <w:r>
              <w:rPr>
                <w:sz w:val="18"/>
                <w:highlight w:val="yellow"/>
              </w:rPr>
              <w:t>47</w:t>
            </w:r>
          </w:p>
        </w:tc>
        <w:tc>
          <w:tcPr>
            <w:tcW w:w="835" w:type="dxa"/>
          </w:tcPr>
          <w:p w14:paraId="65CFAA27" w14:textId="77777777" w:rsidR="001B0846" w:rsidRDefault="00291DF5">
            <w:pPr>
              <w:rPr/>
            </w:pPr>
            <w:r>
              <w:rPr>
                <w:sz w:val="18"/>
                <w:highlight w:val="yellow"/>
              </w:rPr>
              <w:t>28.7</w:t>
            </w:r>
          </w:p>
        </w:tc>
        <w:tc>
          <w:tcPr>
            <w:tcW w:w="792" w:type="dxa"/>
          </w:tcPr>
          <w:p w14:paraId="6ABF858A" w14:textId="77777777" w:rsidR="001B0846" w:rsidRDefault="00291DF5">
            <w:pPr>
              <w:rPr/>
            </w:pPr>
            <w:r>
              <w:rPr>
                <w:sz w:val="18"/>
                <w:highlight w:val="yellow"/>
              </w:rPr>
              <w:t>10.6</w:t>
            </w:r>
          </w:p>
        </w:tc>
        <w:tc>
          <w:tcPr>
            <w:tcW w:w="792" w:type="dxa"/>
          </w:tcPr>
          <w:p w14:paraId="5072E423" w14:textId="77777777" w:rsidR="001B0846" w:rsidRDefault="00291DF5">
            <w:pPr>
              <w:rPr/>
            </w:pPr>
            <w:r>
              <w:rPr>
                <w:sz w:val="18"/>
                <w:highlight w:val="yellow"/>
              </w:rPr>
              <w:t>6.0</w:t>
            </w:r>
          </w:p>
        </w:tc>
        <w:tc>
          <w:tcPr>
            <w:tcW w:w="893" w:type="dxa"/>
          </w:tcPr>
          <w:p w14:paraId="62A6E6DC" w14:textId="77777777" w:rsidR="001B0846" w:rsidRDefault="00291DF5">
            <w:pPr>
              <w:rPr/>
            </w:pPr>
            <w:r>
              <w:rPr>
                <w:sz w:val="18"/>
                <w:highlight w:val="yellow"/>
              </w:rPr>
              <w:t>26.5</w:t>
            </w:r>
          </w:p>
        </w:tc>
        <w:tc>
          <w:tcPr>
            <w:tcW w:w="936" w:type="dxa"/>
          </w:tcPr>
          <w:p w14:paraId="37F35F16" w14:textId="77777777" w:rsidR="001B0846" w:rsidRDefault="00291DF5">
            <w:pPr>
              <w:rPr/>
            </w:pPr>
            <w:r>
              <w:rPr>
                <w:sz w:val="18"/>
                <w:highlight w:val="yellow"/>
              </w:rPr>
              <w:t>61.6</w:t>
            </w:r>
          </w:p>
        </w:tc>
      </w:tr>
      <w:tr w:rsidR="001B0846" w14:paraId="335589C3" w14:textId="77777777" w:rsidTr="001B0846">
        <w:trPr/>
        <w:tc>
          <w:tcPr>
            <w:tcW w:w="2808" w:type="dxa"/>
          </w:tcPr>
          <w:p w14:paraId="52A0FAF6" w14:textId="77777777" w:rsidR="001B0846" w:rsidRDefault="00291DF5">
            <w:pPr>
              <w:rPr/>
            </w:pPr>
            <w:r>
              <w:rPr>
                <w:sz w:val="18"/>
                <w:highlight w:val="yellow"/>
              </w:rPr>
              <w:t>Days with WBGT ≥33°C (sensitivity)</w:t>
            </w:r>
          </w:p>
        </w:tc>
        <w:tc>
          <w:tcPr>
            <w:tcW w:w="1080" w:type="dxa"/>
          </w:tcPr>
          <w:p w14:paraId="04C8A096" w14:textId="77777777" w:rsidR="001B0846" w:rsidRDefault="00291DF5">
            <w:pPr>
              <w:rPr/>
            </w:pPr>
            <w:r>
              <w:rPr>
                <w:sz w:val="18"/>
                <w:highlight w:val="yellow"/>
              </w:rPr>
              <w:t>days</w:t>
            </w:r>
          </w:p>
        </w:tc>
        <w:tc>
          <w:tcPr>
            <w:tcW w:w="461" w:type="dxa"/>
          </w:tcPr>
          <w:p w14:paraId="1FC55F94" w14:textId="77777777" w:rsidR="001B0846" w:rsidRDefault="00291DF5">
            <w:pPr>
              <w:rPr/>
            </w:pPr>
            <w:r>
              <w:rPr>
                <w:sz w:val="18"/>
                <w:highlight w:val="yellow"/>
              </w:rPr>
              <w:t>47</w:t>
            </w:r>
          </w:p>
        </w:tc>
        <w:tc>
          <w:tcPr>
            <w:tcW w:w="835" w:type="dxa"/>
          </w:tcPr>
          <w:p w14:paraId="71F0765F" w14:textId="77777777" w:rsidR="001B0846" w:rsidRDefault="00291DF5">
            <w:pPr>
              <w:rPr/>
            </w:pPr>
            <w:r>
              <w:rPr>
                <w:sz w:val="18"/>
                <w:highlight w:val="yellow"/>
              </w:rPr>
              <w:t>2.9</w:t>
            </w:r>
          </w:p>
        </w:tc>
        <w:tc>
          <w:tcPr>
            <w:tcW w:w="792" w:type="dxa"/>
          </w:tcPr>
          <w:p w14:paraId="30FA10E6" w14:textId="77777777" w:rsidR="001B0846" w:rsidRDefault="00291DF5">
            <w:pPr>
              <w:rPr/>
            </w:pPr>
            <w:r>
              <w:rPr>
                <w:sz w:val="18"/>
                <w:highlight w:val="yellow"/>
              </w:rPr>
              <w:t>2.7</w:t>
            </w:r>
          </w:p>
        </w:tc>
        <w:tc>
          <w:tcPr>
            <w:tcW w:w="792" w:type="dxa"/>
          </w:tcPr>
          <w:p w14:paraId="04672119" w14:textId="77777777" w:rsidR="001B0846" w:rsidRDefault="00291DF5">
            <w:pPr>
              <w:rPr/>
            </w:pPr>
            <w:r>
              <w:rPr>
                <w:sz w:val="18"/>
                <w:highlight w:val="yellow"/>
              </w:rPr>
              <w:t>0.0</w:t>
            </w:r>
          </w:p>
        </w:tc>
        <w:tc>
          <w:tcPr>
            <w:tcW w:w="893" w:type="dxa"/>
          </w:tcPr>
          <w:p w14:paraId="036D71E2" w14:textId="77777777" w:rsidR="001B0846" w:rsidRDefault="00291DF5">
            <w:pPr>
              <w:rPr/>
            </w:pPr>
            <w:r>
              <w:rPr>
                <w:sz w:val="18"/>
                <w:highlight w:val="yellow"/>
              </w:rPr>
              <w:t>1.7</w:t>
            </w:r>
          </w:p>
        </w:tc>
        <w:tc>
          <w:tcPr>
            <w:tcW w:w="936" w:type="dxa"/>
          </w:tcPr>
          <w:p w14:paraId="18B6AE9D" w14:textId="77777777" w:rsidR="001B0846" w:rsidRDefault="00291DF5">
            <w:pPr>
              <w:rPr/>
            </w:pPr>
            <w:r>
              <w:rPr>
                <w:sz w:val="18"/>
                <w:highlight w:val="yellow"/>
              </w:rPr>
              <w:t>10.8</w:t>
            </w:r>
          </w:p>
        </w:tc>
      </w:tr>
      <w:tr w:rsidR="001B0846" w14:paraId="0709990A" w14:textId="77777777" w:rsidTr="001B0846">
        <w:tc>
          <w:tcPr>
            <w:tcW w:w="2808" w:type="dxa"/>
          </w:tcPr>
          <w:p w14:paraId="7392D7AD" w14:textId="78CB53D2" w:rsidR="001B0846" w:rsidRDefault="000D7512">
            <w:r w:rsidR="00291DF5">
              <w:rPr>
                <w:sz w:val="18"/>
                <w:highlight w:val="yellow"/>
              </w:rPr>
              <w:t>Days with maximum temperature ≥35°C (descriptive only)</w:t>
            </w:r>
          </w:p>
        </w:tc>
        <w:tc>
          <w:tcPr>
            <w:tcW w:w="1080" w:type="dxa"/>
          </w:tcPr>
          <w:p w14:paraId="6368FFE2" w14:textId="77777777" w:rsidR="001B0846" w:rsidRDefault="00291DF5">
            <w:r>
              <w:rPr>
                <w:sz w:val="18"/>
                <w:highlight w:val="yellow"/>
              </w:rPr>
              <w:t>days</w:t>
            </w:r>
          </w:p>
        </w:tc>
        <w:tc>
          <w:tcPr>
            <w:tcW w:w="461" w:type="dxa"/>
          </w:tcPr>
          <w:p w14:paraId="4E2D5AA4" w14:textId="77777777" w:rsidR="001B0846" w:rsidRDefault="00291DF5">
            <w:r>
              <w:rPr>
                <w:sz w:val="18"/>
                <w:highlight w:val="yellow"/>
              </w:rPr>
              <w:t>47</w:t>
            </w:r>
          </w:p>
        </w:tc>
        <w:tc>
          <w:tcPr>
            <w:tcW w:w="835" w:type="dxa"/>
          </w:tcPr>
          <w:p w14:paraId="3CFB21BE" w14:textId="77777777" w:rsidR="001B0846" w:rsidRDefault="00291DF5">
            <w:r>
              <w:rPr>
                <w:sz w:val="18"/>
                <w:highlight w:val="yellow"/>
              </w:rPr>
              <w:t>17.9</w:t>
            </w:r>
          </w:p>
        </w:tc>
        <w:tc>
          <w:tcPr>
            <w:tcW w:w="792" w:type="dxa"/>
          </w:tcPr>
          <w:p w14:paraId="094A398A" w14:textId="77777777" w:rsidR="001B0846" w:rsidRDefault="00291DF5">
            <w:r>
              <w:rPr>
                <w:sz w:val="18"/>
                <w:highlight w:val="yellow"/>
              </w:rPr>
              <w:t>12.1</w:t>
            </w:r>
          </w:p>
        </w:tc>
        <w:tc>
          <w:tcPr>
            <w:tcW w:w="792" w:type="dxa"/>
          </w:tcPr>
          <w:p w14:paraId="7F8E097E" w14:textId="77777777" w:rsidR="001B0846" w:rsidRDefault="00291DF5">
            <w:r>
              <w:rPr>
                <w:sz w:val="18"/>
                <w:highlight w:val="yellow"/>
              </w:rPr>
              <w:t>0.0</w:t>
            </w:r>
          </w:p>
        </w:tc>
        <w:tc>
          <w:tcPr>
            <w:tcW w:w="893" w:type="dxa"/>
          </w:tcPr>
          <w:p w14:paraId="070F26FB" w14:textId="77777777" w:rsidR="001B0846" w:rsidRDefault="00291DF5">
            <w:r>
              <w:rPr>
                <w:sz w:val="18"/>
                <w:highlight w:val="yellow"/>
              </w:rPr>
              <w:t>17.0</w:t>
            </w:r>
          </w:p>
        </w:tc>
        <w:tc>
          <w:tcPr>
            <w:tcW w:w="936" w:type="dxa"/>
          </w:tcPr>
          <w:p w14:paraId="6B571691" w14:textId="77777777" w:rsidR="001B0846" w:rsidRDefault="00291DF5">
            <w:r>
              <w:rPr>
                <w:sz w:val="18"/>
                <w:highlight w:val="yellow"/>
              </w:rPr>
              <w:t>44.0</w:t>
            </w:r>
          </w:p>
        </w:tc>
      </w:tr>
      <w:tr w:rsidR="00F82D81" w14:paraId="5937D2B9" w14:textId="77777777" w:rsidTr="006824BB">
        <w:trPr/>
        <w:tc>
          <w:tcPr>
            <w:tcW w:w="1951" w:type="dxa"/>
          </w:tcPr>
          <w:p w14:paraId="2B5B93F4" w14:textId="77777777" w:rsidR="00F82D81" w:rsidRDefault="000D7512" w:rsidP="000D7512">
            <w:pPr>
              <w:pStyle w:val="Compact"/>
              <w:spacing w:line="360" w:lineRule="auto"/>
              <w:rPr/>
            </w:pPr>
          </w:p>
        </w:tc>
        <w:tc>
          <w:tcPr>
            <w:tcW w:w="992" w:type="dxa"/>
          </w:tcPr>
          <w:p w14:paraId="7347CA6F" w14:textId="77777777" w:rsidR="00F82D81" w:rsidRDefault="000D7512" w:rsidP="000D7512">
            <w:pPr>
              <w:pStyle w:val="Compact"/>
              <w:spacing w:line="360" w:lineRule="auto"/>
              <w:rPr/>
            </w:pPr>
          </w:p>
        </w:tc>
        <w:tc>
          <w:tcPr>
            <w:tcW w:w="451" w:type="dxa"/>
          </w:tcPr>
          <w:p w14:paraId="242DF984" w14:textId="77777777" w:rsidR="00F82D81" w:rsidRDefault="000D7512" w:rsidP="000D7512">
            <w:pPr>
              <w:pStyle w:val="Compact"/>
              <w:spacing w:line="360" w:lineRule="auto"/>
              <w:jc w:val="right"/>
              <w:rPr/>
            </w:pPr>
          </w:p>
        </w:tc>
        <w:tc>
          <w:tcPr>
            <w:tcW w:w="1132" w:type="dxa"/>
          </w:tcPr>
          <w:p w14:paraId="12C9F3BB" w14:textId="77777777" w:rsidR="00F82D81" w:rsidRDefault="000D7512" w:rsidP="000D7512">
            <w:pPr>
              <w:pStyle w:val="Compact"/>
              <w:spacing w:line="360" w:lineRule="auto"/>
              <w:jc w:val="right"/>
              <w:rPr/>
            </w:pPr>
          </w:p>
        </w:tc>
        <w:tc>
          <w:tcPr>
            <w:tcW w:w="1132" w:type="dxa"/>
          </w:tcPr>
          <w:p w14:paraId="6897F7F1" w14:textId="77777777" w:rsidR="00F82D81" w:rsidRDefault="000D7512" w:rsidP="000D7512">
            <w:pPr>
              <w:pStyle w:val="Compact"/>
              <w:spacing w:line="360" w:lineRule="auto"/>
              <w:jc w:val="right"/>
              <w:rPr/>
            </w:pPr>
          </w:p>
        </w:tc>
        <w:tc>
          <w:tcPr>
            <w:tcW w:w="1132" w:type="dxa"/>
          </w:tcPr>
          <w:p w14:paraId="290FBC6F" w14:textId="77777777" w:rsidR="00F82D81" w:rsidRDefault="000D7512" w:rsidP="000D7512">
            <w:pPr>
              <w:pStyle w:val="Compact"/>
              <w:spacing w:line="360" w:lineRule="auto"/>
              <w:jc w:val="right"/>
              <w:rPr/>
            </w:pPr>
          </w:p>
        </w:tc>
        <w:tc>
          <w:tcPr>
            <w:tcW w:w="1132" w:type="dxa"/>
          </w:tcPr>
          <w:p w14:paraId="5BBCA6AB" w14:textId="77777777" w:rsidR="00F82D81" w:rsidRDefault="000D7512" w:rsidP="000D7512">
            <w:pPr>
              <w:pStyle w:val="Compact"/>
              <w:spacing w:line="360" w:lineRule="auto"/>
              <w:jc w:val="right"/>
              <w:rPr/>
            </w:pPr>
          </w:p>
        </w:tc>
        <w:tc>
          <w:tcPr>
            <w:tcW w:w="1132" w:type="dxa"/>
          </w:tcPr>
          <w:p w14:paraId="6F52DEBC" w14:textId="77777777" w:rsidR="00F82D81" w:rsidRDefault="000D7512" w:rsidP="000D7512">
            <w:pPr>
              <w:pStyle w:val="Compact"/>
              <w:spacing w:line="360" w:lineRule="auto"/>
              <w:jc w:val="right"/>
              <w:rPr/>
            </w:pPr>
          </w:p>
        </w:tc>
      </w:tr>
      <w:tr w:rsidR="001B0846" w14:paraId="432DD84A" w14:textId="77777777" w:rsidTr="001B0846">
        <w:tc>
          <w:tcPr>
            <w:tcW w:w="2808" w:type="dxa"/>
          </w:tcPr>
          <w:p w14:paraId="1640B887" w14:textId="4D9BE9EF" w:rsidR="001B0846" w:rsidRDefault="00291DF5">
            <w:r>
              <w:rPr>
                <w:sz w:val="18"/>
                <w:highlight w:val="yellow"/>
              </w:rPr>
              <w:t xml:space="preserve">Covariate </w:t>
            </w:r>
            <w:r>
              <w:rPr>
                <w:sz w:val="18"/>
                <w:highlight w:val="yellow"/>
              </w:rPr>
              <w:t>(descriptive only)</w:t>
            </w:r>
          </w:p>
        </w:tc>
        <w:tc>
          <w:tcPr>
            <w:tcW w:w="1080" w:type="dxa"/>
          </w:tcPr>
          <w:p w14:paraId="4BF3C6BE" w14:textId="77777777" w:rsidR="001B0846" w:rsidRDefault="001B0846"/>
        </w:tc>
        <w:tc>
          <w:tcPr>
            <w:tcW w:w="461" w:type="dxa"/>
          </w:tcPr>
          <w:p w14:paraId="621C4D99" w14:textId="77777777" w:rsidR="001B0846" w:rsidRDefault="001B0846"/>
        </w:tc>
        <w:tc>
          <w:tcPr>
            <w:tcW w:w="835" w:type="dxa"/>
          </w:tcPr>
          <w:p w14:paraId="72D9D9F8" w14:textId="77777777" w:rsidR="001B0846" w:rsidRDefault="001B0846"/>
        </w:tc>
        <w:tc>
          <w:tcPr>
            <w:tcW w:w="792" w:type="dxa"/>
          </w:tcPr>
          <w:p w14:paraId="2A8BF4CF" w14:textId="77777777" w:rsidR="001B0846" w:rsidRDefault="001B0846"/>
        </w:tc>
        <w:tc>
          <w:tcPr>
            <w:tcW w:w="792" w:type="dxa"/>
          </w:tcPr>
          <w:p w14:paraId="563B6A76" w14:textId="77777777" w:rsidR="001B0846" w:rsidRDefault="001B0846"/>
        </w:tc>
        <w:tc>
          <w:tcPr>
            <w:tcW w:w="893" w:type="dxa"/>
          </w:tcPr>
          <w:p w14:paraId="407012B9" w14:textId="77777777" w:rsidR="001B0846" w:rsidRDefault="001B0846"/>
        </w:tc>
        <w:tc>
          <w:tcPr>
            <w:tcW w:w="936" w:type="dxa"/>
          </w:tcPr>
          <w:p w14:paraId="268B2597" w14:textId="77777777" w:rsidR="001B0846" w:rsidRDefault="001B0846"/>
        </w:tc>
      </w:tr>
      <w:tr w:rsidR="001B0846" w14:paraId="5CCF0F63" w14:textId="77777777" w:rsidTr="001B0846">
        <w:tc>
          <w:tcPr>
            <w:tcW w:w="2808" w:type="dxa"/>
          </w:tcPr>
          <w:p w14:paraId="50CF5ED5" w14:textId="77777777" w:rsidR="001B0846" w:rsidRDefault="00291DF5">
            <w:r>
              <w:rPr>
                <w:sz w:val="18"/>
                <w:highlight w:val="yellow"/>
              </w:rPr>
              <w:t>Air conditioning prevalence</w:t>
            </w:r>
          </w:p>
        </w:tc>
        <w:tc>
          <w:tcPr>
            <w:tcW w:w="1080" w:type="dxa"/>
          </w:tcPr>
          <w:p w14:paraId="3E75E3F3" w14:textId="77777777" w:rsidR="001B0846" w:rsidRDefault="00291DF5">
            <w:r>
              <w:rPr>
                <w:sz w:val="18"/>
                <w:highlight w:val="yellow"/>
              </w:rPr>
              <w:t>%</w:t>
            </w:r>
          </w:p>
        </w:tc>
        <w:tc>
          <w:tcPr>
            <w:tcW w:w="461" w:type="dxa"/>
          </w:tcPr>
          <w:p w14:paraId="4BB6C18F" w14:textId="77777777" w:rsidR="001B0846" w:rsidRDefault="00291DF5">
            <w:r>
              <w:rPr>
                <w:sz w:val="18"/>
                <w:highlight w:val="yellow"/>
              </w:rPr>
              <w:t>47</w:t>
            </w:r>
          </w:p>
        </w:tc>
        <w:tc>
          <w:tcPr>
            <w:tcW w:w="835" w:type="dxa"/>
          </w:tcPr>
          <w:p w14:paraId="3D2C7473" w14:textId="77777777" w:rsidR="001B0846" w:rsidRDefault="00291DF5">
            <w:r>
              <w:rPr>
                <w:sz w:val="18"/>
                <w:highlight w:val="yellow"/>
              </w:rPr>
              <w:t>89.7</w:t>
            </w:r>
          </w:p>
        </w:tc>
        <w:tc>
          <w:tcPr>
            <w:tcW w:w="792" w:type="dxa"/>
          </w:tcPr>
          <w:p w14:paraId="6D7C3006" w14:textId="77777777" w:rsidR="001B0846" w:rsidRDefault="00291DF5">
            <w:r>
              <w:rPr>
                <w:sz w:val="18"/>
                <w:highlight w:val="yellow"/>
              </w:rPr>
              <w:t>13.6</w:t>
            </w:r>
          </w:p>
        </w:tc>
        <w:tc>
          <w:tcPr>
            <w:tcW w:w="792" w:type="dxa"/>
          </w:tcPr>
          <w:p w14:paraId="504B44A0" w14:textId="77777777" w:rsidR="001B0846" w:rsidRDefault="00291DF5">
            <w:r>
              <w:rPr>
                <w:sz w:val="18"/>
                <w:highlight w:val="yellow"/>
              </w:rPr>
              <w:t>26.6</w:t>
            </w:r>
          </w:p>
        </w:tc>
        <w:tc>
          <w:tcPr>
            <w:tcW w:w="893" w:type="dxa"/>
          </w:tcPr>
          <w:p w14:paraId="72947E12" w14:textId="77777777" w:rsidR="001B0846" w:rsidRDefault="00291DF5">
            <w:r>
              <w:rPr>
                <w:sz w:val="18"/>
                <w:highlight w:val="yellow"/>
              </w:rPr>
              <w:t>94.8</w:t>
            </w:r>
          </w:p>
        </w:tc>
        <w:tc>
          <w:tcPr>
            <w:tcW w:w="936" w:type="dxa"/>
          </w:tcPr>
          <w:p w14:paraId="45B57179" w14:textId="77777777" w:rsidR="001B0846" w:rsidRDefault="00291DF5">
            <w:r>
              <w:rPr>
                <w:sz w:val="18"/>
                <w:highlight w:val="yellow"/>
              </w:rPr>
              <w:t>98.2</w:t>
            </w:r>
          </w:p>
        </w:tc>
      </w:tr>
    </w:tbl>
    <w:p w14:paraId="0E8E4067" w14:textId="716A50C9" w:rsidR="00F82D81" w:rsidRDefault="000D7512" w:rsidP="000D7512">
      <w:pPr>
        <w:pStyle w:val="a0"/>
        <w:spacing w:line="360" w:lineRule="auto"/>
      </w:pPr>
      <w:r>
        <w:t xml:space="preserve">WBGT, wet-bulb globe temperature; SD, standard deviation. </w:t>
      </w:r>
      <w:ins w:id="615"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616" w:author="Author">
        <w:r>
          <w:delText xml:space="preserve">from </w:delText>
        </w:r>
      </w:del>
      <w:ins w:id="617" w:author="Author">
        <w:r>
          <w:t>(</w:t>
        </w:r>
      </w:ins>
      <w:r>
        <w:t>2014 National Survey of Family Income and Expenditure</w:t>
      </w:r>
      <w:ins w:id="618" w:author="Author">
        <w:r>
          <w:t>) reflects ownership, not use, and was not used as an adjustment variable. Ageing rate and healthcare supply are the primary demographic and healthcare-supply adjustment variables in this analysis</w:t>
        </w:r>
      </w:ins>
      <w:r>
        <w:t>.</w:t>
      </w:r>
    </w:p>
    <w:p w14:paraId="0249776E" w14:textId="77777777" w:rsidR="00F82D81" w:rsidRDefault="00291DF5" w:rsidP="000D7512">
      <w:pPr>
        <w:spacing w:line="360" w:lineRule="auto"/>
      </w:pPr>
      <w:r>
        <w:pict w14:anchorId="77418DEC">
          <v:rect id="_x0000_i1039" style="width:0;height:1.5pt" o:hralign="center" o:hrstd="t" o:hr="t"/>
        </w:pict>
      </w:r>
    </w:p>
    <w:p w14:paraId="1713CFCA" w14:textId="77777777" w:rsidR="00F82D81" w:rsidRDefault="000D7512" w:rsidP="000D7512">
      <w:pPr>
        <w:pStyle w:val="2"/>
        <w:spacing w:line="360" w:lineRule="auto"/>
        <w:rPr>
          <w:del w:id="619" w:author="Author"/>
        </w:rPr>
      </w:pPr>
      <w:bookmarkStart w:id="620" w:name="Xc1d11713d26db82ea0249b416de0bb0739e9656"/>
      <w:bookmarkEnd w:id="435"/>
      <w:r>
        <w:t xml:space="preserve">Table 2. </w:t>
      </w:r>
      <w:ins w:id="621" w:author="Author">
        <w:r>
          <w:t xml:space="preserve">Hierarchical </w:t>
        </w:r>
      </w:ins>
      <w:r>
        <w:t xml:space="preserve">Regression </w:t>
      </w:r>
      <w:del w:id="622" w:author="Author">
        <w:r>
          <w:delText>Analyses: Associations with</w:delText>
        </w:r>
      </w:del>
      <w:ins w:id="623" w:author="Author">
        <w:r>
          <w:t>Models: Elderly Solo Household Rate and Large-Volume</w:t>
        </w:r>
      </w:ins>
      <w:r>
        <w:t xml:space="preserve"> Infusion Therapy Utilization</w:t>
      </w:r>
    </w:p>
    <w:p w14:paraId="5777596D" w14:textId="6E172CD5" w:rsidR="00F82D81" w:rsidRDefault="000D7512" w:rsidP="000D7512">
      <w:pPr>
        <w:pStyle w:val="2"/>
        <w:spacing w:line="360" w:lineRule="auto"/>
      </w:pPr>
      <w:del w:id="624" w:author="Author">
        <w:r>
          <w:rPr>
            <w:b/>
            <w:bCs/>
          </w:rPr>
          <w:delText>Panel A. Univariate Linear Regression — All Predictors</w:delText>
        </w:r>
      </w:del>
      <w:r>
        <w:t xml:space="preserve"> (N = 47)</w:t>
      </w:r>
    </w:p>
    <w:tbl>
      <w:tblPr>
        <w:tblW w:w="0" w:type="auto"/>
        <w:tblLayout w:type="fixed"/>
        <w:tblLook w:val="04A0" w:firstRow="1" w:lastRow="0" w:firstColumn="1" w:lastColumn="0" w:noHBand="0" w:noVBand="1"/>
      </w:tblPr>
      <w:tblGrid>
        <w:gridCol w:w="864"/>
        <w:gridCol w:w="1512"/>
        <w:gridCol w:w="1440"/>
        <w:gridCol w:w="1584"/>
        <w:gridCol w:w="1368"/>
        <w:gridCol w:w="792"/>
        <w:gridCol w:w="1008"/>
        <w:gridCol w:w="936"/>
        <w:gridCol w:w="720"/>
      </w:tblGrid>
      <w:tr w:rsidR="001B0846" w14:paraId="5FEE7D3E" w14:textId="77777777">
        <w:tc>
          <w:tcPr>
            <w:tcW w:w="864" w:type="dxa"/>
          </w:tcPr>
          <w:p w14:paraId="18AE99B9" w14:textId="0A1FC6EB" w:rsidR="001B0846" w:rsidRDefault="000D7512">
            <w:r w:rsidR="00291DF5">
              <w:rPr>
                <w:b/>
                <w:sz w:val="18"/>
                <w:highlight w:val="yellow"/>
              </w:rPr>
              <w:t>Model</w:t>
            </w:r>
          </w:p>
        </w:tc>
        <w:tc>
          <w:tcPr>
            <w:tcW w:w="1512" w:type="dxa"/>
            <w:cellIns w:id="627" w:author="Author" w:date="1900-00-00T00:01:00Z"/>
          </w:tcPr>
          <w:p w14:paraId="7D4C00A1" w14:textId="77777777" w:rsidR="001B0846" w:rsidRDefault="00291DF5">
            <w:r>
              <w:rPr>
                <w:b/>
                <w:sz w:val="18"/>
                <w:highlight w:val="yellow"/>
              </w:rPr>
              <w:t>Added covariates</w:t>
            </w:r>
          </w:p>
        </w:tc>
        <w:tc>
          <w:tcPr>
            <w:tcW w:w="1440" w:type="dxa"/>
            <w:gridSpan w:val="2"/>
          </w:tcPr>
          <w:p w14:paraId="67C12A0E" w14:textId="77777777" w:rsidR="001B0846" w:rsidRDefault="00291DF5">
            <w:r>
              <w:rPr>
                <w:b/>
                <w:sz w:val="18"/>
                <w:highlight w:val="yellow"/>
              </w:rPr>
              <w:t>β (95% CI)</w:t>
            </w:r>
          </w:p>
        </w:tc>
        <w:tc>
          <w:tcPr>
            <w:tcW w:w="1368" w:type="dxa"/>
            <w:cellIns w:id="629" w:author="Author" w:date="1900-00-00T00:01:00Z"/>
          </w:tcPr>
          <w:p w14:paraId="787747CE" w14:textId="77777777" w:rsidR="001B0846" w:rsidRDefault="00291DF5">
            <w:r>
              <w:rPr>
                <w:b/>
                <w:sz w:val="18"/>
                <w:highlight w:val="yellow"/>
              </w:rPr>
              <w:t>Standardized β (95% CI)</w:t>
            </w:r>
          </w:p>
        </w:tc>
        <w:tc>
          <w:tcPr>
            <w:tcW w:w="792" w:type="dxa"/>
          </w:tcPr>
          <w:p w14:paraId="130A992F" w14:textId="77777777" w:rsidR="001B0846" w:rsidRDefault="00291DF5">
            <w:r>
              <w:rPr>
                <w:b/>
                <w:sz w:val="18"/>
                <w:highlight w:val="yellow"/>
              </w:rPr>
              <w:t>p</w:t>
            </w:r>
          </w:p>
        </w:tc>
        <w:tc>
          <w:tcPr>
            <w:tcW w:w="1008" w:type="dxa"/>
          </w:tcPr>
          <w:p w14:paraId="18A3508E" w14:textId="77777777" w:rsidR="001B0846" w:rsidRDefault="00291DF5">
            <w:r>
              <w:rPr>
                <w:b/>
                <w:sz w:val="18"/>
                <w:highlight w:val="yellow"/>
              </w:rPr>
              <w:t xml:space="preserve">Exposure partial </w:t>
            </w:r>
            <w:r>
              <w:rPr>
                <w:b/>
                <w:sz w:val="18"/>
                <w:highlight w:val="yellow"/>
              </w:rPr>
              <w:t>R²</w:t>
            </w:r>
          </w:p>
        </w:tc>
        <w:tc>
          <w:tcPr>
            <w:tcW w:w="936" w:type="dxa"/>
          </w:tcPr>
          <w:p w14:paraId="4C561F11" w14:textId="001EC944" w:rsidR="001B0846" w:rsidRDefault="000D7512">
            <w:r w:rsidR="00291DF5">
              <w:rPr>
                <w:b/>
                <w:sz w:val="18"/>
                <w:highlight w:val="yellow"/>
              </w:rPr>
              <w:t>Adjusted</w:t>
            </w:r>
            <w:r w:rsidR="00291DF5">
              <w:rPr>
                <w:b/>
                <w:sz w:val="18"/>
                <w:highlight w:val="yellow"/>
              </w:rPr>
              <w:t xml:space="preserve"> R²</w:t>
            </w:r>
          </w:p>
        </w:tc>
        <w:tc>
          <w:tcPr>
            <w:tcW w:w="720" w:type="dxa"/>
            <w:cellIns w:id="634" w:author="Author" w:date="1900-00-00T00:01:00Z"/>
          </w:tcPr>
          <w:p w14:paraId="1EF2B3F5" w14:textId="77777777" w:rsidR="001B0846" w:rsidRDefault="00291DF5">
            <w:r>
              <w:rPr>
                <w:b/>
                <w:sz w:val="18"/>
                <w:highlight w:val="yellow"/>
              </w:rPr>
              <w:t>AICc</w:t>
            </w:r>
          </w:p>
        </w:tc>
      </w:tr>
      <w:tr w:rsidR="001B0846" w14:paraId="76422C5F" w14:textId="77777777">
        <w:tc>
          <w:tcPr>
            <w:tcW w:w="864" w:type="dxa"/>
          </w:tcPr>
          <w:p w14:paraId="5B47990D" w14:textId="381BE968" w:rsidR="001B0846" w:rsidRDefault="000D7512">
            <w:r w:rsidR="00291DF5">
              <w:rPr>
                <w:sz w:val="18"/>
                <w:highlight w:val="yellow"/>
              </w:rPr>
              <w:t>O-A</w:t>
            </w:r>
          </w:p>
        </w:tc>
        <w:tc>
          <w:tcPr>
            <w:tcW w:w="1512" w:type="dxa"/>
          </w:tcPr>
          <w:p w14:paraId="64C76648" w14:textId="21D5FB00" w:rsidR="001B0846" w:rsidRDefault="000D7512">
            <w:r w:rsidR="00291DF5">
              <w:rPr>
                <w:sz w:val="18"/>
                <w:highlight w:val="yellow"/>
              </w:rPr>
              <w:t>Unadjusted</w:t>
            </w:r>
          </w:p>
        </w:tc>
        <w:tc>
          <w:tcPr>
            <w:tcW w:w="1440" w:type="dxa"/>
            <w:gridSpan w:val="2"/>
            <w:cellIns w:id="640" w:author="Author" w:date="1900-00-00T00:01:00Z"/>
          </w:tcPr>
          <w:p w14:paraId="50ABBAD6" w14:textId="77777777" w:rsidR="001B0846" w:rsidRDefault="00291DF5">
            <w:r>
              <w:rPr>
                <w:sz w:val="18"/>
                <w:highlight w:val="yellow"/>
              </w:rPr>
              <w:t>656.2 (326.9, 985.6)</w:t>
            </w:r>
          </w:p>
        </w:tc>
        <w:tc>
          <w:tcPr>
            <w:tcW w:w="1368" w:type="dxa"/>
          </w:tcPr>
          <w:p w14:paraId="672B860C" w14:textId="290AE40D" w:rsidR="001B0846" w:rsidRDefault="000D7512">
            <w:r w:rsidR="00291DF5">
              <w:rPr>
                <w:sz w:val="18"/>
                <w:highlight w:val="yellow"/>
              </w:rPr>
              <w:t>0.521 (0.260, 0.783)</w:t>
            </w:r>
          </w:p>
        </w:tc>
        <w:tc>
          <w:tcPr>
            <w:tcW w:w="792" w:type="dxa"/>
          </w:tcPr>
          <w:p w14:paraId="0BC26031" w14:textId="21DB9147" w:rsidR="001B0846" w:rsidRDefault="00291DF5">
            <w:r>
              <w:rPr>
                <w:sz w:val="18"/>
                <w:highlight w:val="yellow"/>
              </w:rPr>
              <w:t>&lt;</w:t>
            </w:r>
            <w:r>
              <w:rPr>
                <w:sz w:val="18"/>
                <w:highlight w:val="yellow"/>
              </w:rPr>
              <w:t>0.</w:t>
            </w:r>
            <w:r>
              <w:rPr>
                <w:sz w:val="18"/>
                <w:highlight w:val="yellow"/>
              </w:rPr>
              <w:t>001</w:t>
            </w:r>
          </w:p>
        </w:tc>
        <w:tc>
          <w:tcPr>
            <w:tcW w:w="1008" w:type="dxa"/>
          </w:tcPr>
          <w:p w14:paraId="3AF0E582" w14:textId="7F61205D" w:rsidR="001B0846" w:rsidRDefault="00291DF5">
            <w:r>
              <w:rPr>
                <w:sz w:val="18"/>
                <w:highlight w:val="yellow"/>
              </w:rPr>
              <w:t>0.</w:t>
            </w:r>
            <w:r>
              <w:rPr>
                <w:sz w:val="18"/>
                <w:highlight w:val="yellow"/>
              </w:rPr>
              <w:t>272</w:t>
            </w:r>
          </w:p>
        </w:tc>
        <w:tc>
          <w:tcPr>
            <w:tcW w:w="936" w:type="dxa"/>
            <w:cellIns w:id="649" w:author="Author" w:date="1900-00-00T00:01:00Z"/>
          </w:tcPr>
          <w:p w14:paraId="46A17E6C" w14:textId="77777777" w:rsidR="001B0846" w:rsidRDefault="00291DF5">
            <w:r>
              <w:rPr>
                <w:sz w:val="18"/>
                <w:highlight w:val="yellow"/>
              </w:rPr>
              <w:t>0.256</w:t>
            </w:r>
          </w:p>
        </w:tc>
        <w:tc>
          <w:tcPr>
            <w:tcW w:w="720" w:type="dxa"/>
            <w:cellIns w:id="651" w:author="Author" w:date="1900-00-00T00:01:00Z"/>
          </w:tcPr>
          <w:p w14:paraId="3C7BD90A" w14:textId="77777777" w:rsidR="001B0846" w:rsidRDefault="00291DF5">
            <w:r>
              <w:rPr>
                <w:sz w:val="18"/>
                <w:highlight w:val="yellow"/>
              </w:rPr>
              <w:t>853.2</w:t>
            </w:r>
          </w:p>
        </w:tc>
      </w:tr>
      <w:tr w:rsidR="001B0846" w14:paraId="33AFB1AA" w14:textId="77777777">
        <w:tc>
          <w:tcPr>
            <w:tcW w:w="864" w:type="dxa"/>
          </w:tcPr>
          <w:p w14:paraId="63AD2D40" w14:textId="4C238C3E" w:rsidR="001B0846" w:rsidRDefault="000D7512">
            <w:r w:rsidR="00291DF5">
              <w:rPr>
                <w:sz w:val="18"/>
                <w:highlight w:val="yellow"/>
              </w:rPr>
              <w:t>O-B</w:t>
            </w:r>
          </w:p>
        </w:tc>
        <w:tc>
          <w:tcPr>
            <w:tcW w:w="1512" w:type="dxa"/>
          </w:tcPr>
          <w:p w14:paraId="05ADCA18" w14:textId="0AC7F520" w:rsidR="001B0846" w:rsidRDefault="000D7512">
            <w:r w:rsidR="00291DF5">
              <w:rPr>
                <w:sz w:val="18"/>
                <w:highlight w:val="yellow"/>
              </w:rPr>
              <w:t>+ ageing rate</w:t>
            </w:r>
          </w:p>
        </w:tc>
        <w:tc>
          <w:tcPr>
            <w:tcW w:w="1440" w:type="dxa"/>
            <w:gridSpan w:val="2"/>
            <w:cellIns w:id="657" w:author="Author" w:date="1900-00-00T00:01:00Z"/>
          </w:tcPr>
          <w:p w14:paraId="772EA606" w14:textId="77777777" w:rsidR="001B0846" w:rsidRDefault="00291DF5">
            <w:r>
              <w:rPr>
                <w:sz w:val="18"/>
                <w:highlight w:val="yellow"/>
              </w:rPr>
              <w:t>306.1 (-71.3, 683.5)</w:t>
            </w:r>
          </w:p>
        </w:tc>
        <w:tc>
          <w:tcPr>
            <w:tcW w:w="1368" w:type="dxa"/>
          </w:tcPr>
          <w:p w14:paraId="53A433EE" w14:textId="341394DB" w:rsidR="001B0846" w:rsidRDefault="000D7512">
            <w:r w:rsidR="00291DF5">
              <w:rPr>
                <w:sz w:val="18"/>
                <w:highlight w:val="yellow"/>
              </w:rPr>
              <w:t>0.243 (-0.057, 0.543)</w:t>
            </w:r>
          </w:p>
        </w:tc>
        <w:tc>
          <w:tcPr>
            <w:tcW w:w="792" w:type="dxa"/>
          </w:tcPr>
          <w:p w14:paraId="5D69261F" w14:textId="6E42734B" w:rsidR="001B0846" w:rsidRDefault="00291DF5">
            <w:r>
              <w:rPr>
                <w:sz w:val="18"/>
                <w:highlight w:val="yellow"/>
              </w:rPr>
              <w:t>0.</w:t>
            </w:r>
            <w:r>
              <w:rPr>
                <w:sz w:val="18"/>
                <w:highlight w:val="yellow"/>
              </w:rPr>
              <w:t>112</w:t>
            </w:r>
          </w:p>
        </w:tc>
        <w:tc>
          <w:tcPr>
            <w:tcW w:w="1008" w:type="dxa"/>
          </w:tcPr>
          <w:p w14:paraId="25E86C59" w14:textId="064DE701" w:rsidR="001B0846" w:rsidRDefault="00291DF5">
            <w:r>
              <w:rPr>
                <w:sz w:val="18"/>
                <w:highlight w:val="yellow"/>
              </w:rPr>
              <w:t>0.</w:t>
            </w:r>
            <w:r>
              <w:rPr>
                <w:sz w:val="18"/>
                <w:highlight w:val="yellow"/>
              </w:rPr>
              <w:t>056</w:t>
            </w:r>
          </w:p>
        </w:tc>
        <w:tc>
          <w:tcPr>
            <w:tcW w:w="936" w:type="dxa"/>
            <w:cellIns w:id="665" w:author="Author" w:date="1900-00-00T00:01:00Z"/>
          </w:tcPr>
          <w:p w14:paraId="60915A30" w14:textId="77777777" w:rsidR="001B0846" w:rsidRDefault="00291DF5">
            <w:r>
              <w:rPr>
                <w:sz w:val="18"/>
                <w:highlight w:val="yellow"/>
              </w:rPr>
              <w:t>0.365</w:t>
            </w:r>
          </w:p>
        </w:tc>
        <w:tc>
          <w:tcPr>
            <w:tcW w:w="720" w:type="dxa"/>
            <w:cellIns w:id="667" w:author="Author" w:date="1900-00-00T00:01:00Z"/>
          </w:tcPr>
          <w:p w14:paraId="433DC4B2" w14:textId="77777777" w:rsidR="001B0846" w:rsidRDefault="00291DF5">
            <w:r>
              <w:rPr>
                <w:sz w:val="18"/>
                <w:highlight w:val="yellow"/>
              </w:rPr>
              <w:t>847.1</w:t>
            </w:r>
          </w:p>
        </w:tc>
      </w:tr>
      <w:tr w:rsidR="001B0846" w14:paraId="1B1EC0A1" w14:textId="77777777">
        <w:tc>
          <w:tcPr>
            <w:tcW w:w="864" w:type="dxa"/>
            <w:cellIns w:id="669" w:author="Author" w:date="1900-00-00T00:01:00Z"/>
          </w:tcPr>
          <w:p w14:paraId="763F87CB" w14:textId="77777777" w:rsidR="001B0846" w:rsidRDefault="00291DF5">
            <w:r>
              <w:rPr>
                <w:sz w:val="18"/>
                <w:highlight w:val="yellow"/>
              </w:rPr>
              <w:t>O-C</w:t>
            </w:r>
          </w:p>
        </w:tc>
        <w:tc>
          <w:tcPr>
            <w:tcW w:w="1512" w:type="dxa"/>
            <w:cellIns w:id="671" w:author="Author" w:date="1900-00-00T00:01:00Z"/>
          </w:tcPr>
          <w:p w14:paraId="7E496A0F" w14:textId="77777777" w:rsidR="001B0846" w:rsidRDefault="00291DF5">
            <w:r>
              <w:rPr>
                <w:sz w:val="18"/>
                <w:highlight w:val="yellow"/>
              </w:rPr>
              <w:t>+ ageing rate + hospital beds</w:t>
            </w:r>
          </w:p>
        </w:tc>
        <w:tc>
          <w:tcPr>
            <w:tcW w:w="1440" w:type="dxa"/>
          </w:tcPr>
          <w:p w14:paraId="6176B044" w14:textId="1363F5B8" w:rsidR="001B0846" w:rsidRDefault="000D7512">
            <w:r w:rsidR="00291DF5">
              <w:rPr>
                <w:sz w:val="18"/>
                <w:highlight w:val="yellow"/>
              </w:rPr>
              <w:t>94.</w:t>
            </w:r>
            <w:r w:rsidR="00291DF5">
              <w:rPr>
                <w:sz w:val="18"/>
                <w:highlight w:val="yellow"/>
              </w:rPr>
              <w:t xml:space="preserve">1 </w:t>
            </w:r>
            <w:r w:rsidR="00291DF5">
              <w:rPr>
                <w:sz w:val="18"/>
                <w:highlight w:val="yellow"/>
              </w:rPr>
              <w:t>(-302.4, 490.6</w:t>
            </w:r>
            <w:r w:rsidR="00291DF5">
              <w:rPr>
                <w:sz w:val="18"/>
                <w:highlight w:val="yellow"/>
              </w:rPr>
              <w:t>)</w:t>
            </w:r>
          </w:p>
        </w:tc>
        <w:tc>
          <w:tcPr>
            <w:tcW w:w="1584" w:type="dxa"/>
            <w:cellDel w:id="680" w:author="Author" w:date="1900-00-00T00:01:00Z"/>
          </w:tcPr>
          <w:p w14:paraId="0F0574AB" w14:textId="77777777" w:rsidR="000D7512" w:rsidRDefault="000D7512" w:rsidP="000D7512">
            <w:pPr>
              <w:pStyle w:val="Compact"/>
              <w:spacing w:line="360" w:lineRule="auto"/>
              <w:jc w:val="right"/>
            </w:pPr>
          </w:p>
        </w:tc>
        <w:tc>
          <w:tcPr>
            <w:tcW w:w="1368" w:type="dxa"/>
          </w:tcPr>
          <w:p w14:paraId="2155136C" w14:textId="460621A3" w:rsidR="001B0846" w:rsidRDefault="000D7512">
            <w:r w:rsidR="00291DF5">
              <w:rPr>
                <w:sz w:val="18"/>
                <w:highlight w:val="yellow"/>
              </w:rPr>
              <w:t>0</w:t>
            </w:r>
            <w:r w:rsidR="00291DF5">
              <w:rPr>
                <w:sz w:val="18"/>
                <w:highlight w:val="yellow"/>
              </w:rPr>
              <w:t>.075 (-0.240, 0.390)</w:t>
            </w:r>
          </w:p>
        </w:tc>
        <w:tc>
          <w:tcPr>
            <w:tcW w:w="792" w:type="dxa"/>
          </w:tcPr>
          <w:p w14:paraId="57D6CD3B" w14:textId="74454600" w:rsidR="001B0846" w:rsidRDefault="00291DF5">
            <w:r>
              <w:rPr>
                <w:sz w:val="18"/>
                <w:highlight w:val="yellow"/>
              </w:rPr>
              <w:t>0.</w:t>
            </w:r>
            <w:r>
              <w:rPr>
                <w:sz w:val="18"/>
                <w:highlight w:val="yellow"/>
              </w:rPr>
              <w:t>642</w:t>
            </w:r>
          </w:p>
        </w:tc>
        <w:tc>
          <w:tcPr>
            <w:tcW w:w="1008" w:type="dxa"/>
          </w:tcPr>
          <w:p w14:paraId="668C36B5" w14:textId="209B5B66" w:rsidR="001B0846" w:rsidRDefault="00291DF5">
            <w:r>
              <w:rPr>
                <w:sz w:val="18"/>
                <w:highlight w:val="yellow"/>
              </w:rPr>
              <w:t>0.</w:t>
            </w:r>
            <w:r>
              <w:rPr>
                <w:sz w:val="18"/>
                <w:highlight w:val="yellow"/>
              </w:rPr>
              <w:t>004</w:t>
            </w:r>
          </w:p>
        </w:tc>
        <w:tc>
          <w:tcPr>
            <w:tcW w:w="936" w:type="dxa"/>
            <w:cellIns w:id="688" w:author="Author" w:date="1900-00-00T00:01:00Z"/>
          </w:tcPr>
          <w:p w14:paraId="2C1BBBA3" w14:textId="77777777" w:rsidR="001B0846" w:rsidRDefault="00291DF5">
            <w:r>
              <w:rPr>
                <w:sz w:val="18"/>
                <w:highlight w:val="yellow"/>
              </w:rPr>
              <w:t>0.386</w:t>
            </w:r>
          </w:p>
        </w:tc>
        <w:tc>
          <w:tcPr>
            <w:tcW w:w="720" w:type="dxa"/>
            <w:cellIns w:id="690" w:author="Author" w:date="1900-00-00T00:01:00Z"/>
          </w:tcPr>
          <w:p w14:paraId="3EFA15AF" w14:textId="77777777" w:rsidR="001B0846" w:rsidRDefault="00291DF5">
            <w:r>
              <w:rPr>
                <w:sz w:val="18"/>
                <w:highlight w:val="yellow"/>
              </w:rPr>
              <w:t>846.9</w:t>
            </w:r>
          </w:p>
        </w:tc>
      </w:tr>
      <w:tr w:rsidR="001B0846" w14:paraId="263C8DED" w14:textId="77777777">
        <w:tc>
          <w:tcPr>
            <w:tcW w:w="864" w:type="dxa"/>
            <w:cellIns w:id="692" w:author="Author" w:date="1900-00-00T00:01:00Z"/>
          </w:tcPr>
          <w:p w14:paraId="05D0A31A" w14:textId="77777777" w:rsidR="001B0846" w:rsidRDefault="00291DF5">
            <w:r>
              <w:rPr>
                <w:sz w:val="18"/>
                <w:highlight w:val="yellow"/>
              </w:rPr>
              <w:t>O-D</w:t>
            </w:r>
          </w:p>
        </w:tc>
        <w:tc>
          <w:tcPr>
            <w:tcW w:w="1512" w:type="dxa"/>
          </w:tcPr>
          <w:p w14:paraId="300DE248" w14:textId="030E1307" w:rsidR="001B0846" w:rsidRDefault="000D7512">
            <w:r w:rsidR="00291DF5">
              <w:rPr>
                <w:sz w:val="18"/>
                <w:highlight w:val="yellow"/>
              </w:rPr>
              <w:t>+ ageing rate + hospital beds + WBGT≥28d</w:t>
            </w:r>
          </w:p>
        </w:tc>
        <w:tc>
          <w:tcPr>
            <w:tcW w:w="1440" w:type="dxa"/>
            <w:gridSpan w:val="2"/>
          </w:tcPr>
          <w:p w14:paraId="1FAEA2B9" w14:textId="4DFCA525" w:rsidR="001B0846" w:rsidRDefault="000D7512">
            <w:r w:rsidR="00291DF5">
              <w:rPr>
                <w:sz w:val="18"/>
                <w:highlight w:val="yellow"/>
              </w:rPr>
              <w:t>-9.4 (-493.9, 475.1)</w:t>
            </w:r>
          </w:p>
        </w:tc>
        <w:tc>
          <w:tcPr>
            <w:tcW w:w="1368" w:type="dxa"/>
          </w:tcPr>
          <w:p w14:paraId="09A56063" w14:textId="70585FB9" w:rsidR="001B0846" w:rsidRDefault="000D7512">
            <w:r w:rsidR="00291DF5">
              <w:rPr>
                <w:sz w:val="18"/>
                <w:highlight w:val="yellow"/>
              </w:rPr>
              <w:t>-0.007 (-0.392, 0.377)</w:t>
            </w:r>
          </w:p>
        </w:tc>
        <w:tc>
          <w:tcPr>
            <w:tcW w:w="792" w:type="dxa"/>
            <w:cellIns w:id="700" w:author="Author" w:date="1900-00-00T00:01:00Z"/>
          </w:tcPr>
          <w:p w14:paraId="286F6CE4" w14:textId="77777777" w:rsidR="001B0846" w:rsidRDefault="00291DF5">
            <w:r>
              <w:rPr>
                <w:sz w:val="18"/>
                <w:highlight w:val="yellow"/>
              </w:rPr>
              <w:t>0.970</w:t>
            </w:r>
          </w:p>
        </w:tc>
        <w:tc>
          <w:tcPr>
            <w:tcW w:w="1008" w:type="dxa"/>
          </w:tcPr>
          <w:p w14:paraId="55B11FC6" w14:textId="77777777" w:rsidR="001B0846" w:rsidRDefault="00291DF5">
            <w:r>
              <w:rPr>
                <w:sz w:val="18"/>
                <w:highlight w:val="yellow"/>
              </w:rPr>
              <w:t>&lt;</w:t>
            </w:r>
            <w:r>
              <w:rPr>
                <w:sz w:val="18"/>
                <w:highlight w:val="yellow"/>
              </w:rPr>
              <w:t>0.001</w:t>
            </w:r>
          </w:p>
        </w:tc>
        <w:tc>
          <w:tcPr>
            <w:tcW w:w="936" w:type="dxa"/>
          </w:tcPr>
          <w:p w14:paraId="071CCA92" w14:textId="54B60A00" w:rsidR="001B0846" w:rsidRDefault="000D7512">
            <w:r w:rsidR="00291DF5">
              <w:rPr>
                <w:sz w:val="18"/>
                <w:highlight w:val="yellow"/>
              </w:rPr>
              <w:t>0.</w:t>
            </w:r>
            <w:r w:rsidR="00291DF5">
              <w:rPr>
                <w:sz w:val="18"/>
                <w:highlight w:val="yellow"/>
              </w:rPr>
              <w:t>422</w:t>
            </w:r>
          </w:p>
        </w:tc>
        <w:tc>
          <w:tcPr>
            <w:tcW w:w="720" w:type="dxa"/>
            <w:cellIns w:id="706" w:author="Author" w:date="1900-00-00T00:01:00Z"/>
          </w:tcPr>
          <w:p w14:paraId="7693FC22" w14:textId="77777777" w:rsidR="001B0846" w:rsidRDefault="00291DF5">
            <w:r>
              <w:rPr>
                <w:sz w:val="18"/>
                <w:highlight w:val="yellow"/>
              </w:rPr>
              <w:t>845.6</w:t>
            </w:r>
          </w:p>
        </w:tc>
      </w:tr>
    </w:tbl>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F82D81" w14:paraId="520801C7" w14:textId="77777777">
        <w:trPr>
          <w:cnfStyle w:val="100000000000" w:firstRow="1" w:lastRow="0" w:firstColumn="0" w:lastColumn="0" w:oddVBand="0" w:evenVBand="0" w:oddHBand="0" w:evenHBand="0" w:firstRowFirstColumn="0" w:firstRowLastColumn="0" w:lastRowFirstColumn="0" w:lastRowLastColumn="0"/>
          <w:del w:id="708" w:author="Author"/>
        </w:trPr>
        <w:tc>
          <w:tcPr>
            <w:tcW w:w="1584" w:type="dxa"/>
          </w:tcPr>
          <w:p w14:paraId="66AA80DB" w14:textId="77777777" w:rsidR="00F82D81" w:rsidRDefault="000D7512" w:rsidP="000D7512">
            <w:pPr>
              <w:pStyle w:val="Compact"/>
              <w:spacing w:line="360" w:lineRule="auto"/>
              <w:rPr>
                <w:del w:id="709" w:author="Author"/>
              </w:rPr>
            </w:pPr>
            <w:del w:id="710" w:author="Author">
              <w:r>
                <w:rPr>
                  <w:i/>
                  <w:iCs/>
                </w:rPr>
                <w:delText>Additional climate variables</w:delText>
              </w:r>
            </w:del>
          </w:p>
        </w:tc>
        <w:tc>
          <w:tcPr>
            <w:tcW w:w="1584" w:type="dxa"/>
          </w:tcPr>
          <w:p w14:paraId="361E501D" w14:textId="77777777" w:rsidR="00F82D81" w:rsidRDefault="00F82D81" w:rsidP="000D7512">
            <w:pPr>
              <w:pStyle w:val="Compact"/>
              <w:spacing w:line="360" w:lineRule="auto"/>
              <w:rPr>
                <w:del w:id="711" w:author="Author"/>
              </w:rPr>
            </w:pPr>
          </w:p>
        </w:tc>
        <w:tc>
          <w:tcPr>
            <w:tcW w:w="1584" w:type="dxa"/>
          </w:tcPr>
          <w:p w14:paraId="43F43A5B" w14:textId="77777777" w:rsidR="00F82D81" w:rsidRDefault="00F82D81" w:rsidP="000D7512">
            <w:pPr>
              <w:pStyle w:val="Compact"/>
              <w:spacing w:line="360" w:lineRule="auto"/>
              <w:rPr>
                <w:del w:id="712" w:author="Author"/>
              </w:rPr>
            </w:pPr>
          </w:p>
        </w:tc>
        <w:tc>
          <w:tcPr>
            <w:tcW w:w="1584" w:type="dxa"/>
          </w:tcPr>
          <w:p w14:paraId="0B6F9C63" w14:textId="77777777" w:rsidR="00F82D81" w:rsidRDefault="00F82D81" w:rsidP="000D7512">
            <w:pPr>
              <w:pStyle w:val="Compact"/>
              <w:spacing w:line="360" w:lineRule="auto"/>
              <w:rPr>
                <w:del w:id="713" w:author="Author"/>
              </w:rPr>
            </w:pPr>
          </w:p>
        </w:tc>
        <w:tc>
          <w:tcPr>
            <w:tcW w:w="1584" w:type="dxa"/>
          </w:tcPr>
          <w:p w14:paraId="53CF47F2" w14:textId="77777777" w:rsidR="00F82D81" w:rsidRDefault="00F82D81" w:rsidP="000D7512">
            <w:pPr>
              <w:pStyle w:val="Compact"/>
              <w:spacing w:line="360" w:lineRule="auto"/>
              <w:rPr>
                <w:del w:id="714" w:author="Author"/>
              </w:rPr>
            </w:pPr>
          </w:p>
        </w:tc>
      </w:tr>
      <w:tr w:rsidR="00F82D81" w14:paraId="690D46AE" w14:textId="77777777">
        <w:trPr>
          <w:del w:id="715" w:author="Author"/>
        </w:trPr>
        <w:tc>
          <w:tcPr>
            <w:tcW w:w="1584" w:type="dxa"/>
          </w:tcPr>
          <w:p w14:paraId="18391A98" w14:textId="77777777" w:rsidR="00F82D81" w:rsidRDefault="000D7512" w:rsidP="000D7512">
            <w:pPr>
              <w:pStyle w:val="Compact"/>
              <w:spacing w:line="360" w:lineRule="auto"/>
              <w:rPr>
                <w:del w:id="716" w:author="Author"/>
              </w:rPr>
            </w:pPr>
            <w:del w:id="717" w:author="Author">
              <w:r>
                <w:delText>Mean daily maximum temperature (per 1°C)</w:delText>
              </w:r>
            </w:del>
          </w:p>
        </w:tc>
        <w:tc>
          <w:tcPr>
            <w:tcW w:w="1584" w:type="dxa"/>
          </w:tcPr>
          <w:p w14:paraId="61BDF0E4" w14:textId="77777777" w:rsidR="00F82D81" w:rsidRDefault="000D7512" w:rsidP="000D7512">
            <w:pPr>
              <w:pStyle w:val="Compact"/>
              <w:spacing w:line="360" w:lineRule="auto"/>
              <w:jc w:val="right"/>
              <w:rPr>
                <w:del w:id="718" w:author="Author"/>
              </w:rPr>
            </w:pPr>
            <w:del w:id="719" w:author="Author">
              <w:r>
                <w:delText>−145.83 (−861.66, 570.00)</w:delText>
              </w:r>
            </w:del>
          </w:p>
        </w:tc>
        <w:tc>
          <w:tcPr>
            <w:tcW w:w="1584" w:type="dxa"/>
          </w:tcPr>
          <w:p w14:paraId="4ECF3318" w14:textId="77777777" w:rsidR="00F82D81" w:rsidRDefault="000D7512" w:rsidP="000D7512">
            <w:pPr>
              <w:pStyle w:val="Compact"/>
              <w:spacing w:line="360" w:lineRule="auto"/>
              <w:jc w:val="right"/>
              <w:rPr>
                <w:del w:id="720" w:author="Author"/>
              </w:rPr>
            </w:pPr>
            <w:del w:id="721" w:author="Author">
              <w:r>
                <w:delText>0.684</w:delText>
              </w:r>
            </w:del>
          </w:p>
        </w:tc>
        <w:tc>
          <w:tcPr>
            <w:tcW w:w="1584" w:type="dxa"/>
          </w:tcPr>
          <w:p w14:paraId="7DE7F881" w14:textId="77777777" w:rsidR="00F82D81" w:rsidRDefault="000D7512" w:rsidP="000D7512">
            <w:pPr>
              <w:pStyle w:val="Compact"/>
              <w:spacing w:line="360" w:lineRule="auto"/>
              <w:jc w:val="right"/>
              <w:rPr>
                <w:del w:id="722" w:author="Author"/>
              </w:rPr>
            </w:pPr>
            <w:del w:id="723" w:author="Author">
              <w:r>
                <w:delText>0.004</w:delText>
              </w:r>
            </w:del>
          </w:p>
        </w:tc>
        <w:tc>
          <w:tcPr>
            <w:tcW w:w="1584" w:type="dxa"/>
          </w:tcPr>
          <w:p w14:paraId="4735766E" w14:textId="77777777" w:rsidR="00F82D81" w:rsidRDefault="000D7512" w:rsidP="000D7512">
            <w:pPr>
              <w:pStyle w:val="Compact"/>
              <w:spacing w:line="360" w:lineRule="auto"/>
              <w:jc w:val="right"/>
              <w:rPr>
                <w:del w:id="724" w:author="Author"/>
              </w:rPr>
            </w:pPr>
            <w:del w:id="725" w:author="Author">
              <w:r>
                <w:delText>−0.018</w:delText>
              </w:r>
            </w:del>
          </w:p>
        </w:tc>
      </w:tr>
      <w:tr w:rsidR="00F82D81" w14:paraId="1621CE31" w14:textId="77777777">
        <w:trPr>
          <w:del w:id="726" w:author="Author"/>
        </w:trPr>
        <w:tc>
          <w:tcPr>
            <w:tcW w:w="1584" w:type="dxa"/>
          </w:tcPr>
          <w:p w14:paraId="3D5D708E" w14:textId="77777777" w:rsidR="00F82D81" w:rsidRDefault="000D7512" w:rsidP="000D7512">
            <w:pPr>
              <w:pStyle w:val="Compact"/>
              <w:spacing w:line="360" w:lineRule="auto"/>
              <w:rPr>
                <w:del w:id="727" w:author="Author"/>
              </w:rPr>
            </w:pPr>
            <w:del w:id="728" w:author="Author">
              <w:r>
                <w:delText>SD of daily maximum temperature (per 1°C)</w:delText>
              </w:r>
            </w:del>
          </w:p>
        </w:tc>
        <w:tc>
          <w:tcPr>
            <w:tcW w:w="1584" w:type="dxa"/>
          </w:tcPr>
          <w:p w14:paraId="44B3CE47" w14:textId="77777777" w:rsidR="00F82D81" w:rsidRDefault="000D7512" w:rsidP="000D7512">
            <w:pPr>
              <w:pStyle w:val="Compact"/>
              <w:spacing w:line="360" w:lineRule="auto"/>
              <w:jc w:val="right"/>
              <w:rPr>
                <w:del w:id="729" w:author="Author"/>
              </w:rPr>
            </w:pPr>
            <w:del w:id="730" w:author="Author">
              <w:r>
                <w:delText>−586.99 (−2,060.21, 886.23)</w:delText>
              </w:r>
            </w:del>
          </w:p>
        </w:tc>
        <w:tc>
          <w:tcPr>
            <w:tcW w:w="1584" w:type="dxa"/>
          </w:tcPr>
          <w:p w14:paraId="40FD59B4" w14:textId="77777777" w:rsidR="00F82D81" w:rsidRDefault="000D7512" w:rsidP="000D7512">
            <w:pPr>
              <w:pStyle w:val="Compact"/>
              <w:spacing w:line="360" w:lineRule="auto"/>
              <w:jc w:val="right"/>
              <w:rPr>
                <w:del w:id="731" w:author="Author"/>
              </w:rPr>
            </w:pPr>
            <w:del w:id="732" w:author="Author">
              <w:r>
                <w:delText>0.427</w:delText>
              </w:r>
            </w:del>
          </w:p>
        </w:tc>
        <w:tc>
          <w:tcPr>
            <w:tcW w:w="1584" w:type="dxa"/>
          </w:tcPr>
          <w:p w14:paraId="5267150C" w14:textId="77777777" w:rsidR="00F82D81" w:rsidRDefault="000D7512" w:rsidP="000D7512">
            <w:pPr>
              <w:pStyle w:val="Compact"/>
              <w:spacing w:line="360" w:lineRule="auto"/>
              <w:jc w:val="right"/>
              <w:rPr>
                <w:del w:id="733" w:author="Author"/>
              </w:rPr>
            </w:pPr>
            <w:del w:id="734" w:author="Author">
              <w:r>
                <w:delText>0.014</w:delText>
              </w:r>
            </w:del>
          </w:p>
        </w:tc>
        <w:tc>
          <w:tcPr>
            <w:tcW w:w="1584" w:type="dxa"/>
          </w:tcPr>
          <w:p w14:paraId="579F5236" w14:textId="77777777" w:rsidR="00F82D81" w:rsidRDefault="000D7512" w:rsidP="000D7512">
            <w:pPr>
              <w:pStyle w:val="Compact"/>
              <w:spacing w:line="360" w:lineRule="auto"/>
              <w:jc w:val="right"/>
              <w:rPr>
                <w:del w:id="735" w:author="Author"/>
              </w:rPr>
            </w:pPr>
            <w:del w:id="736" w:author="Author">
              <w:r>
                <w:delText>−0.008</w:delText>
              </w:r>
            </w:del>
          </w:p>
        </w:tc>
      </w:tr>
      <w:tr w:rsidR="00F82D81" w14:paraId="6C06E111" w14:textId="77777777">
        <w:trPr>
          <w:del w:id="737" w:author="Author"/>
        </w:trPr>
        <w:tc>
          <w:tcPr>
            <w:tcW w:w="1584" w:type="dxa"/>
          </w:tcPr>
          <w:p w14:paraId="29EFE8D9" w14:textId="77777777" w:rsidR="00F82D81" w:rsidRDefault="000D7512" w:rsidP="000D7512">
            <w:pPr>
              <w:pStyle w:val="Compact"/>
              <w:spacing w:line="360" w:lineRule="auto"/>
              <w:rPr>
                <w:del w:id="738" w:author="Author"/>
              </w:rPr>
            </w:pPr>
            <w:del w:id="739" w:author="Author">
              <w:r>
                <w:delText>Mean diurnal temperature range (per 1°C)</w:delText>
              </w:r>
            </w:del>
          </w:p>
        </w:tc>
        <w:tc>
          <w:tcPr>
            <w:tcW w:w="1584" w:type="dxa"/>
          </w:tcPr>
          <w:p w14:paraId="73C48566" w14:textId="77777777" w:rsidR="00F82D81" w:rsidRDefault="000D7512" w:rsidP="000D7512">
            <w:pPr>
              <w:pStyle w:val="Compact"/>
              <w:spacing w:line="360" w:lineRule="auto"/>
              <w:jc w:val="right"/>
              <w:rPr>
                <w:del w:id="740" w:author="Author"/>
              </w:rPr>
            </w:pPr>
            <w:del w:id="741" w:author="Author">
              <w:r>
                <w:delText>−307.32 (−961.69, 347.06)</w:delText>
              </w:r>
            </w:del>
          </w:p>
        </w:tc>
        <w:tc>
          <w:tcPr>
            <w:tcW w:w="1584" w:type="dxa"/>
          </w:tcPr>
          <w:p w14:paraId="553E9F93" w14:textId="77777777" w:rsidR="00F82D81" w:rsidRDefault="000D7512" w:rsidP="000D7512">
            <w:pPr>
              <w:pStyle w:val="Compact"/>
              <w:spacing w:line="360" w:lineRule="auto"/>
              <w:jc w:val="right"/>
              <w:rPr>
                <w:del w:id="742" w:author="Author"/>
              </w:rPr>
            </w:pPr>
            <w:del w:id="743" w:author="Author">
              <w:r>
                <w:delText>0.349</w:delText>
              </w:r>
            </w:del>
          </w:p>
        </w:tc>
        <w:tc>
          <w:tcPr>
            <w:tcW w:w="1584" w:type="dxa"/>
          </w:tcPr>
          <w:p w14:paraId="5E7CBE9D" w14:textId="77777777" w:rsidR="00F82D81" w:rsidRDefault="000D7512" w:rsidP="000D7512">
            <w:pPr>
              <w:pStyle w:val="Compact"/>
              <w:spacing w:line="360" w:lineRule="auto"/>
              <w:jc w:val="right"/>
              <w:rPr>
                <w:del w:id="744" w:author="Author"/>
              </w:rPr>
            </w:pPr>
            <w:del w:id="745" w:author="Author">
              <w:r>
                <w:delText>0.019</w:delText>
              </w:r>
            </w:del>
          </w:p>
        </w:tc>
        <w:tc>
          <w:tcPr>
            <w:tcW w:w="1584" w:type="dxa"/>
          </w:tcPr>
          <w:p w14:paraId="72A982AB" w14:textId="77777777" w:rsidR="00F82D81" w:rsidRDefault="000D7512" w:rsidP="000D7512">
            <w:pPr>
              <w:pStyle w:val="Compact"/>
              <w:spacing w:line="360" w:lineRule="auto"/>
              <w:jc w:val="right"/>
              <w:rPr>
                <w:del w:id="746" w:author="Author"/>
              </w:rPr>
            </w:pPr>
            <w:del w:id="747" w:author="Author">
              <w:r>
                <w:delText>−0.003</w:delText>
              </w:r>
            </w:del>
          </w:p>
        </w:tc>
      </w:tr>
      <w:tr w:rsidR="00F82D81" w14:paraId="6F537286" w14:textId="77777777">
        <w:trPr>
          <w:del w:id="748" w:author="Author"/>
        </w:trPr>
        <w:tc>
          <w:tcPr>
            <w:tcW w:w="1584" w:type="dxa"/>
          </w:tcPr>
          <w:p w14:paraId="5EF52842" w14:textId="77777777" w:rsidR="00F82D81" w:rsidRDefault="000D7512" w:rsidP="000D7512">
            <w:pPr>
              <w:pStyle w:val="Compact"/>
              <w:spacing w:line="360" w:lineRule="auto"/>
              <w:rPr>
                <w:del w:id="749" w:author="Author"/>
              </w:rPr>
            </w:pPr>
            <w:del w:id="750" w:author="Author">
              <w:r>
                <w:delText>Rapid-change days ≥5°C (per 1 day)</w:delText>
              </w:r>
            </w:del>
          </w:p>
        </w:tc>
        <w:tc>
          <w:tcPr>
            <w:tcW w:w="1584" w:type="dxa"/>
          </w:tcPr>
          <w:p w14:paraId="7E165925" w14:textId="77777777" w:rsidR="00F82D81" w:rsidRDefault="000D7512" w:rsidP="000D7512">
            <w:pPr>
              <w:pStyle w:val="Compact"/>
              <w:spacing w:line="360" w:lineRule="auto"/>
              <w:jc w:val="right"/>
              <w:rPr>
                <w:del w:id="751" w:author="Author"/>
              </w:rPr>
            </w:pPr>
            <w:del w:id="752" w:author="Author">
              <w:r>
                <w:delText>−42.32 (−190.74, 106.10)</w:delText>
              </w:r>
            </w:del>
          </w:p>
        </w:tc>
        <w:tc>
          <w:tcPr>
            <w:tcW w:w="1584" w:type="dxa"/>
          </w:tcPr>
          <w:p w14:paraId="3A66D33B" w14:textId="77777777" w:rsidR="00F82D81" w:rsidRDefault="000D7512" w:rsidP="000D7512">
            <w:pPr>
              <w:pStyle w:val="Compact"/>
              <w:spacing w:line="360" w:lineRule="auto"/>
              <w:jc w:val="right"/>
              <w:rPr>
                <w:del w:id="753" w:author="Author"/>
              </w:rPr>
            </w:pPr>
            <w:del w:id="754" w:author="Author">
              <w:r>
                <w:delText>0.569</w:delText>
              </w:r>
            </w:del>
          </w:p>
        </w:tc>
        <w:tc>
          <w:tcPr>
            <w:tcW w:w="1584" w:type="dxa"/>
          </w:tcPr>
          <w:p w14:paraId="15C262C4" w14:textId="77777777" w:rsidR="00F82D81" w:rsidRDefault="000D7512" w:rsidP="000D7512">
            <w:pPr>
              <w:pStyle w:val="Compact"/>
              <w:spacing w:line="360" w:lineRule="auto"/>
              <w:jc w:val="right"/>
              <w:rPr>
                <w:del w:id="755" w:author="Author"/>
              </w:rPr>
            </w:pPr>
            <w:del w:id="756" w:author="Author">
              <w:r>
                <w:delText>0.007</w:delText>
              </w:r>
            </w:del>
          </w:p>
        </w:tc>
        <w:tc>
          <w:tcPr>
            <w:tcW w:w="1584" w:type="dxa"/>
          </w:tcPr>
          <w:p w14:paraId="5D53B4FF" w14:textId="77777777" w:rsidR="00F82D81" w:rsidRDefault="000D7512" w:rsidP="000D7512">
            <w:pPr>
              <w:pStyle w:val="Compact"/>
              <w:spacing w:line="360" w:lineRule="auto"/>
              <w:jc w:val="right"/>
              <w:rPr>
                <w:del w:id="757" w:author="Author"/>
              </w:rPr>
            </w:pPr>
            <w:del w:id="758" w:author="Author">
              <w:r>
                <w:delText>−0.015</w:delText>
              </w:r>
            </w:del>
          </w:p>
        </w:tc>
      </w:tr>
    </w:tbl>
    <w:p w14:paraId="6F5D815A" w14:textId="77777777" w:rsidR="00F82D81" w:rsidRDefault="000D7512" w:rsidP="000D7512">
      <w:pPr>
        <w:pStyle w:val="a0"/>
        <w:spacing w:line="360" w:lineRule="auto"/>
        <w:rPr>
          <w:del w:id="759" w:author="Author"/>
        </w:rPr>
      </w:pPr>
      <w:del w:id="760"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75D2988D" w14:textId="77777777" w:rsidTr="00F82D81">
        <w:trPr>
          <w:cnfStyle w:val="100000000000" w:firstRow="1" w:lastRow="0" w:firstColumn="0" w:lastColumn="0" w:oddVBand="0" w:evenVBand="0" w:oddHBand="0" w:evenHBand="0" w:firstRowFirstColumn="0" w:firstRowLastColumn="0" w:lastRowFirstColumn="0" w:lastRowLastColumn="0"/>
          <w:tblHeader/>
          <w:del w:id="761" w:author="Author"/>
        </w:trPr>
        <w:tc>
          <w:tcPr>
            <w:tcW w:w="1320" w:type="dxa"/>
          </w:tcPr>
          <w:p w14:paraId="71385181" w14:textId="77777777" w:rsidR="00F82D81" w:rsidRDefault="000D7512" w:rsidP="000D7512">
            <w:pPr>
              <w:pStyle w:val="Compact"/>
              <w:spacing w:line="360" w:lineRule="auto"/>
              <w:rPr>
                <w:del w:id="762" w:author="Author"/>
              </w:rPr>
            </w:pPr>
            <w:del w:id="763" w:author="Author">
              <w:r>
                <w:rPr>
                  <w:b/>
                  <w:bCs/>
                </w:rPr>
                <w:delText>Analysis</w:delText>
              </w:r>
            </w:del>
          </w:p>
        </w:tc>
        <w:tc>
          <w:tcPr>
            <w:tcW w:w="1320" w:type="dxa"/>
          </w:tcPr>
          <w:p w14:paraId="189BACCA" w14:textId="77777777" w:rsidR="00F82D81" w:rsidRDefault="000D7512" w:rsidP="000D7512">
            <w:pPr>
              <w:pStyle w:val="Compact"/>
              <w:spacing w:line="360" w:lineRule="auto"/>
              <w:jc w:val="right"/>
              <w:rPr>
                <w:del w:id="764" w:author="Author"/>
              </w:rPr>
            </w:pPr>
            <w:del w:id="765" w:author="Author">
              <w:r>
                <w:rPr>
                  <w:b/>
                  <w:bCs/>
                </w:rPr>
                <w:delText>N</w:delText>
              </w:r>
            </w:del>
          </w:p>
        </w:tc>
        <w:tc>
          <w:tcPr>
            <w:tcW w:w="1320" w:type="dxa"/>
          </w:tcPr>
          <w:p w14:paraId="27407CA7" w14:textId="77777777" w:rsidR="00F82D81" w:rsidRDefault="000D7512" w:rsidP="000D7512">
            <w:pPr>
              <w:pStyle w:val="Compact"/>
              <w:spacing w:line="360" w:lineRule="auto"/>
              <w:jc w:val="right"/>
              <w:rPr>
                <w:del w:id="766" w:author="Author"/>
              </w:rPr>
            </w:pPr>
            <w:del w:id="767" w:author="Author">
              <w:r>
                <w:rPr>
                  <w:b/>
                  <w:bCs/>
                </w:rPr>
                <w:delText>β (95% CI)</w:delText>
              </w:r>
            </w:del>
          </w:p>
        </w:tc>
        <w:tc>
          <w:tcPr>
            <w:tcW w:w="1320" w:type="dxa"/>
          </w:tcPr>
          <w:p w14:paraId="6FFAE024" w14:textId="77777777" w:rsidR="00F82D81" w:rsidRDefault="000D7512" w:rsidP="000D7512">
            <w:pPr>
              <w:pStyle w:val="Compact"/>
              <w:spacing w:line="360" w:lineRule="auto"/>
              <w:jc w:val="right"/>
              <w:rPr>
                <w:del w:id="768" w:author="Author"/>
              </w:rPr>
            </w:pPr>
            <w:del w:id="769" w:author="Author">
              <w:r>
                <w:rPr>
                  <w:b/>
                  <w:bCs/>
                  <w:i/>
                  <w:iCs/>
                </w:rPr>
                <w:delText>p</w:delText>
              </w:r>
            </w:del>
          </w:p>
        </w:tc>
        <w:tc>
          <w:tcPr>
            <w:tcW w:w="1320" w:type="dxa"/>
          </w:tcPr>
          <w:p w14:paraId="0675BE3E" w14:textId="77777777" w:rsidR="00F82D81" w:rsidRDefault="000D7512" w:rsidP="000D7512">
            <w:pPr>
              <w:pStyle w:val="Compact"/>
              <w:spacing w:line="360" w:lineRule="auto"/>
              <w:jc w:val="right"/>
              <w:rPr>
                <w:del w:id="770" w:author="Author"/>
              </w:rPr>
            </w:pPr>
            <w:del w:id="771" w:author="Author">
              <w:r>
                <w:rPr>
                  <w:b/>
                  <w:bCs/>
                </w:rPr>
                <w:delText>R²</w:delText>
              </w:r>
            </w:del>
          </w:p>
        </w:tc>
        <w:tc>
          <w:tcPr>
            <w:tcW w:w="1320" w:type="dxa"/>
          </w:tcPr>
          <w:p w14:paraId="6E0FF90F" w14:textId="77777777" w:rsidR="00F82D81" w:rsidRDefault="000D7512" w:rsidP="000D7512">
            <w:pPr>
              <w:pStyle w:val="Compact"/>
              <w:spacing w:line="360" w:lineRule="auto"/>
              <w:rPr>
                <w:del w:id="772" w:author="Author"/>
              </w:rPr>
            </w:pPr>
            <w:del w:id="773" w:author="Author">
              <w:r>
                <w:rPr>
                  <w:b/>
                  <w:bCs/>
                </w:rPr>
                <w:delText>Notes</w:delText>
              </w:r>
            </w:del>
          </w:p>
        </w:tc>
      </w:tr>
      <w:tr w:rsidR="00F82D81" w14:paraId="70E87CD8" w14:textId="77777777">
        <w:trPr>
          <w:del w:id="774" w:author="Author"/>
        </w:trPr>
        <w:tc>
          <w:tcPr>
            <w:tcW w:w="1320" w:type="dxa"/>
          </w:tcPr>
          <w:p w14:paraId="2B334CD7" w14:textId="77777777" w:rsidR="00F82D81" w:rsidRDefault="000D7512" w:rsidP="000D7512">
            <w:pPr>
              <w:pStyle w:val="Compact"/>
              <w:spacing w:line="360" w:lineRule="auto"/>
              <w:rPr>
                <w:del w:id="775" w:author="Author"/>
              </w:rPr>
            </w:pPr>
            <w:del w:id="776" w:author="Author">
              <w:r>
                <w:rPr>
                  <w:b/>
                  <w:bCs/>
                </w:rPr>
                <w:delText>Base model</w:delText>
              </w:r>
            </w:del>
          </w:p>
        </w:tc>
        <w:tc>
          <w:tcPr>
            <w:tcW w:w="1320" w:type="dxa"/>
          </w:tcPr>
          <w:p w14:paraId="6A179212" w14:textId="77777777" w:rsidR="00F82D81" w:rsidRDefault="000D7512" w:rsidP="000D7512">
            <w:pPr>
              <w:pStyle w:val="Compact"/>
              <w:spacing w:line="360" w:lineRule="auto"/>
              <w:jc w:val="right"/>
              <w:rPr>
                <w:del w:id="777" w:author="Author"/>
              </w:rPr>
            </w:pPr>
            <w:del w:id="778" w:author="Author">
              <w:r>
                <w:delText>47</w:delText>
              </w:r>
            </w:del>
          </w:p>
        </w:tc>
        <w:tc>
          <w:tcPr>
            <w:tcW w:w="1320" w:type="dxa"/>
          </w:tcPr>
          <w:p w14:paraId="254B9EB2" w14:textId="77777777" w:rsidR="00F82D81" w:rsidRDefault="000D7512" w:rsidP="000D7512">
            <w:pPr>
              <w:pStyle w:val="Compact"/>
              <w:spacing w:line="360" w:lineRule="auto"/>
              <w:jc w:val="right"/>
              <w:rPr>
                <w:del w:id="779" w:author="Author"/>
              </w:rPr>
            </w:pPr>
            <w:del w:id="780" w:author="Author">
              <w:r>
                <w:rPr>
                  <w:b/>
                  <w:bCs/>
                </w:rPr>
                <w:delText>723.37 (376.52, 1,070.21)</w:delText>
              </w:r>
            </w:del>
          </w:p>
        </w:tc>
        <w:tc>
          <w:tcPr>
            <w:tcW w:w="1320" w:type="dxa"/>
          </w:tcPr>
          <w:p w14:paraId="6113EA8E" w14:textId="77777777" w:rsidR="00F82D81" w:rsidRDefault="000D7512" w:rsidP="000D7512">
            <w:pPr>
              <w:pStyle w:val="Compact"/>
              <w:spacing w:line="360" w:lineRule="auto"/>
              <w:jc w:val="right"/>
              <w:rPr>
                <w:del w:id="781" w:author="Author"/>
              </w:rPr>
            </w:pPr>
            <w:del w:id="782" w:author="Author">
              <w:r>
                <w:rPr>
                  <w:b/>
                  <w:bCs/>
                </w:rPr>
                <w:delText>0.0001</w:delText>
              </w:r>
            </w:del>
          </w:p>
        </w:tc>
        <w:tc>
          <w:tcPr>
            <w:tcW w:w="1320" w:type="dxa"/>
          </w:tcPr>
          <w:p w14:paraId="541A25E6" w14:textId="77777777" w:rsidR="00F82D81" w:rsidRDefault="000D7512" w:rsidP="000D7512">
            <w:pPr>
              <w:pStyle w:val="Compact"/>
              <w:spacing w:line="360" w:lineRule="auto"/>
              <w:jc w:val="right"/>
              <w:rPr>
                <w:del w:id="783" w:author="Author"/>
              </w:rPr>
            </w:pPr>
            <w:del w:id="784" w:author="Author">
              <w:r>
                <w:rPr>
                  <w:b/>
                  <w:bCs/>
                </w:rPr>
                <w:delText>0.282</w:delText>
              </w:r>
            </w:del>
          </w:p>
        </w:tc>
        <w:tc>
          <w:tcPr>
            <w:tcW w:w="1320" w:type="dxa"/>
          </w:tcPr>
          <w:p w14:paraId="0A2CBA01" w14:textId="77777777" w:rsidR="00F82D81" w:rsidRDefault="000D7512" w:rsidP="000D7512">
            <w:pPr>
              <w:pStyle w:val="Compact"/>
              <w:spacing w:line="360" w:lineRule="auto"/>
              <w:rPr>
                <w:del w:id="785" w:author="Author"/>
              </w:rPr>
            </w:pPr>
            <w:del w:id="786" w:author="Author">
              <w:r>
                <w:delText>–</w:delText>
              </w:r>
            </w:del>
          </w:p>
        </w:tc>
      </w:tr>
      <w:tr w:rsidR="00F82D81" w14:paraId="0B876FCB" w14:textId="77777777">
        <w:trPr>
          <w:del w:id="787" w:author="Author"/>
        </w:trPr>
        <w:tc>
          <w:tcPr>
            <w:tcW w:w="1320" w:type="dxa"/>
          </w:tcPr>
          <w:p w14:paraId="220A6B6C" w14:textId="77777777" w:rsidR="00F82D81" w:rsidRDefault="000D7512" w:rsidP="000D7512">
            <w:pPr>
              <w:pStyle w:val="Compact"/>
              <w:spacing w:line="360" w:lineRule="auto"/>
              <w:rPr>
                <w:del w:id="788" w:author="Author"/>
              </w:rPr>
            </w:pPr>
            <w:del w:id="789" w:author="Author">
              <w:r>
                <w:rPr>
                  <w:b/>
                  <w:bCs/>
                </w:rPr>
                <w:delText>Outlier exclusion</w:delText>
              </w:r>
            </w:del>
          </w:p>
        </w:tc>
        <w:tc>
          <w:tcPr>
            <w:tcW w:w="1320" w:type="dxa"/>
          </w:tcPr>
          <w:p w14:paraId="04C7D8F1" w14:textId="77777777" w:rsidR="00F82D81" w:rsidRDefault="000D7512" w:rsidP="000D7512">
            <w:pPr>
              <w:pStyle w:val="Compact"/>
              <w:spacing w:line="360" w:lineRule="auto"/>
              <w:jc w:val="right"/>
              <w:rPr>
                <w:del w:id="790" w:author="Author"/>
              </w:rPr>
            </w:pPr>
            <w:del w:id="791" w:author="Author">
              <w:r>
                <w:delText>45</w:delText>
              </w:r>
            </w:del>
          </w:p>
        </w:tc>
        <w:tc>
          <w:tcPr>
            <w:tcW w:w="1320" w:type="dxa"/>
          </w:tcPr>
          <w:p w14:paraId="01DA4CB4" w14:textId="77777777" w:rsidR="00F82D81" w:rsidRDefault="000D7512" w:rsidP="000D7512">
            <w:pPr>
              <w:pStyle w:val="Compact"/>
              <w:spacing w:line="360" w:lineRule="auto"/>
              <w:jc w:val="right"/>
              <w:rPr>
                <w:del w:id="792" w:author="Author"/>
              </w:rPr>
            </w:pPr>
            <w:del w:id="793" w:author="Author">
              <w:r>
                <w:rPr>
                  <w:b/>
                  <w:bCs/>
                </w:rPr>
                <w:delText>925.11 (564.74, 1,285.47)</w:delText>
              </w:r>
            </w:del>
          </w:p>
        </w:tc>
        <w:tc>
          <w:tcPr>
            <w:tcW w:w="1320" w:type="dxa"/>
          </w:tcPr>
          <w:p w14:paraId="2EBD3CE1" w14:textId="77777777" w:rsidR="00F82D81" w:rsidRDefault="000D7512" w:rsidP="000D7512">
            <w:pPr>
              <w:pStyle w:val="Compact"/>
              <w:spacing w:line="360" w:lineRule="auto"/>
              <w:jc w:val="right"/>
              <w:rPr>
                <w:del w:id="794" w:author="Author"/>
              </w:rPr>
            </w:pPr>
            <w:del w:id="795" w:author="Author">
              <w:r>
                <w:rPr>
                  <w:b/>
                  <w:bCs/>
                </w:rPr>
                <w:delText>&lt;0.001</w:delText>
              </w:r>
            </w:del>
          </w:p>
        </w:tc>
        <w:tc>
          <w:tcPr>
            <w:tcW w:w="1320" w:type="dxa"/>
          </w:tcPr>
          <w:p w14:paraId="2CD55304" w14:textId="77777777" w:rsidR="00F82D81" w:rsidRDefault="000D7512" w:rsidP="000D7512">
            <w:pPr>
              <w:pStyle w:val="Compact"/>
              <w:spacing w:line="360" w:lineRule="auto"/>
              <w:jc w:val="right"/>
              <w:rPr>
                <w:del w:id="796" w:author="Author"/>
              </w:rPr>
            </w:pPr>
            <w:del w:id="797" w:author="Author">
              <w:r>
                <w:rPr>
                  <w:b/>
                  <w:bCs/>
                </w:rPr>
                <w:delText>0.384</w:delText>
              </w:r>
            </w:del>
          </w:p>
        </w:tc>
        <w:tc>
          <w:tcPr>
            <w:tcW w:w="1320" w:type="dxa"/>
          </w:tcPr>
          <w:p w14:paraId="0EDE91AE" w14:textId="77777777" w:rsidR="00F82D81" w:rsidRDefault="000D7512" w:rsidP="000D7512">
            <w:pPr>
              <w:pStyle w:val="Compact"/>
              <w:spacing w:line="360" w:lineRule="auto"/>
              <w:rPr>
                <w:del w:id="798" w:author="Author"/>
              </w:rPr>
            </w:pPr>
            <w:del w:id="799" w:author="Author">
              <w:r>
                <w:delText>Hokkaido, Kochi excluded</w:delText>
              </w:r>
            </w:del>
          </w:p>
        </w:tc>
      </w:tr>
      <w:tr w:rsidR="00F82D81" w14:paraId="61969A95" w14:textId="77777777">
        <w:trPr>
          <w:del w:id="800" w:author="Author"/>
        </w:trPr>
        <w:tc>
          <w:tcPr>
            <w:tcW w:w="1320" w:type="dxa"/>
          </w:tcPr>
          <w:p w14:paraId="65D87F55" w14:textId="77777777" w:rsidR="00F82D81" w:rsidRDefault="000D7512" w:rsidP="000D7512">
            <w:pPr>
              <w:pStyle w:val="Compact"/>
              <w:spacing w:line="360" w:lineRule="auto"/>
              <w:rPr>
                <w:del w:id="801" w:author="Author"/>
              </w:rPr>
            </w:pPr>
            <w:del w:id="802" w:author="Author">
              <w:r>
                <w:rPr>
                  <w:b/>
                  <w:bCs/>
                </w:rPr>
                <w:delText>Tokyo exclusion</w:delText>
              </w:r>
            </w:del>
          </w:p>
        </w:tc>
        <w:tc>
          <w:tcPr>
            <w:tcW w:w="1320" w:type="dxa"/>
          </w:tcPr>
          <w:p w14:paraId="3D99CFBF" w14:textId="77777777" w:rsidR="00F82D81" w:rsidRDefault="000D7512" w:rsidP="000D7512">
            <w:pPr>
              <w:pStyle w:val="Compact"/>
              <w:spacing w:line="360" w:lineRule="auto"/>
              <w:jc w:val="right"/>
              <w:rPr>
                <w:del w:id="803" w:author="Author"/>
              </w:rPr>
            </w:pPr>
            <w:del w:id="804" w:author="Author">
              <w:r>
                <w:delText>46</w:delText>
              </w:r>
            </w:del>
          </w:p>
        </w:tc>
        <w:tc>
          <w:tcPr>
            <w:tcW w:w="1320" w:type="dxa"/>
          </w:tcPr>
          <w:p w14:paraId="50C3B37E" w14:textId="77777777" w:rsidR="00F82D81" w:rsidRDefault="000D7512" w:rsidP="000D7512">
            <w:pPr>
              <w:pStyle w:val="Compact"/>
              <w:spacing w:line="360" w:lineRule="auto"/>
              <w:jc w:val="right"/>
              <w:rPr>
                <w:del w:id="805" w:author="Author"/>
              </w:rPr>
            </w:pPr>
            <w:del w:id="806" w:author="Author">
              <w:r>
                <w:rPr>
                  <w:b/>
                  <w:bCs/>
                </w:rPr>
                <w:delText>696.92 (352.45, 1,041.39)</w:delText>
              </w:r>
            </w:del>
          </w:p>
        </w:tc>
        <w:tc>
          <w:tcPr>
            <w:tcW w:w="1320" w:type="dxa"/>
          </w:tcPr>
          <w:p w14:paraId="7EC9D232" w14:textId="77777777" w:rsidR="00F82D81" w:rsidRDefault="000D7512" w:rsidP="000D7512">
            <w:pPr>
              <w:pStyle w:val="Compact"/>
              <w:spacing w:line="360" w:lineRule="auto"/>
              <w:jc w:val="right"/>
              <w:rPr>
                <w:del w:id="807" w:author="Author"/>
              </w:rPr>
            </w:pPr>
            <w:del w:id="808" w:author="Author">
              <w:r>
                <w:rPr>
                  <w:b/>
                  <w:bCs/>
                </w:rPr>
                <w:delText>0.0002</w:delText>
              </w:r>
            </w:del>
          </w:p>
        </w:tc>
        <w:tc>
          <w:tcPr>
            <w:tcW w:w="1320" w:type="dxa"/>
          </w:tcPr>
          <w:p w14:paraId="1F91B7CF" w14:textId="77777777" w:rsidR="00F82D81" w:rsidRDefault="000D7512" w:rsidP="000D7512">
            <w:pPr>
              <w:pStyle w:val="Compact"/>
              <w:spacing w:line="360" w:lineRule="auto"/>
              <w:jc w:val="right"/>
              <w:rPr>
                <w:del w:id="809" w:author="Author"/>
              </w:rPr>
            </w:pPr>
            <w:del w:id="810" w:author="Author">
              <w:r>
                <w:rPr>
                  <w:b/>
                  <w:bCs/>
                </w:rPr>
                <w:delText>0.274</w:delText>
              </w:r>
            </w:del>
          </w:p>
        </w:tc>
        <w:tc>
          <w:tcPr>
            <w:tcW w:w="1320" w:type="dxa"/>
          </w:tcPr>
          <w:p w14:paraId="34454C8D" w14:textId="77777777" w:rsidR="00F82D81" w:rsidRDefault="000D7512" w:rsidP="000D7512">
            <w:pPr>
              <w:pStyle w:val="Compact"/>
              <w:spacing w:line="360" w:lineRule="auto"/>
              <w:rPr>
                <w:del w:id="811" w:author="Author"/>
              </w:rPr>
            </w:pPr>
            <w:del w:id="812" w:author="Author">
              <w:r>
                <w:delText>Tokyo excluded</w:delText>
              </w:r>
            </w:del>
          </w:p>
        </w:tc>
      </w:tr>
      <w:tr w:rsidR="00F82D81" w14:paraId="33C9411B" w14:textId="77777777">
        <w:trPr>
          <w:del w:id="813" w:author="Author"/>
        </w:trPr>
        <w:tc>
          <w:tcPr>
            <w:tcW w:w="1320" w:type="dxa"/>
          </w:tcPr>
          <w:p w14:paraId="69B52C67" w14:textId="77777777" w:rsidR="00F82D81" w:rsidRDefault="000D7512" w:rsidP="000D7512">
            <w:pPr>
              <w:pStyle w:val="Compact"/>
              <w:spacing w:line="360" w:lineRule="auto"/>
              <w:rPr>
                <w:del w:id="814" w:author="Author"/>
              </w:rPr>
            </w:pPr>
            <w:del w:id="815" w:author="Author">
              <w:r>
                <w:rPr>
                  <w:b/>
                  <w:bCs/>
                </w:rPr>
                <w:delText>Stratified: High elderly solo HH rate (≥12.3%)</w:delText>
              </w:r>
            </w:del>
          </w:p>
        </w:tc>
        <w:tc>
          <w:tcPr>
            <w:tcW w:w="1320" w:type="dxa"/>
          </w:tcPr>
          <w:p w14:paraId="6675694C" w14:textId="77777777" w:rsidR="00F82D81" w:rsidRDefault="000D7512" w:rsidP="000D7512">
            <w:pPr>
              <w:pStyle w:val="Compact"/>
              <w:spacing w:line="360" w:lineRule="auto"/>
              <w:jc w:val="right"/>
              <w:rPr>
                <w:del w:id="816" w:author="Author"/>
              </w:rPr>
            </w:pPr>
            <w:del w:id="817" w:author="Author">
              <w:r>
                <w:delText>24</w:delText>
              </w:r>
            </w:del>
          </w:p>
        </w:tc>
        <w:tc>
          <w:tcPr>
            <w:tcW w:w="1320" w:type="dxa"/>
          </w:tcPr>
          <w:p w14:paraId="41556871" w14:textId="77777777" w:rsidR="00F82D81" w:rsidRDefault="000D7512" w:rsidP="000D7512">
            <w:pPr>
              <w:pStyle w:val="Compact"/>
              <w:spacing w:line="360" w:lineRule="auto"/>
              <w:jc w:val="right"/>
              <w:rPr>
                <w:del w:id="818" w:author="Author"/>
              </w:rPr>
            </w:pPr>
            <w:del w:id="819" w:author="Author">
              <w:r>
                <w:delText>264.50 (−461.52, 990.53)</w:delText>
              </w:r>
            </w:del>
          </w:p>
        </w:tc>
        <w:tc>
          <w:tcPr>
            <w:tcW w:w="1320" w:type="dxa"/>
          </w:tcPr>
          <w:p w14:paraId="04949D1B" w14:textId="77777777" w:rsidR="00F82D81" w:rsidRDefault="000D7512" w:rsidP="000D7512">
            <w:pPr>
              <w:pStyle w:val="Compact"/>
              <w:spacing w:line="360" w:lineRule="auto"/>
              <w:jc w:val="right"/>
              <w:rPr>
                <w:del w:id="820" w:author="Author"/>
              </w:rPr>
            </w:pPr>
            <w:del w:id="821" w:author="Author">
              <w:r>
                <w:delText>0.458</w:delText>
              </w:r>
            </w:del>
          </w:p>
        </w:tc>
        <w:tc>
          <w:tcPr>
            <w:tcW w:w="1320" w:type="dxa"/>
          </w:tcPr>
          <w:p w14:paraId="545BD76B" w14:textId="77777777" w:rsidR="00F82D81" w:rsidRDefault="000D7512" w:rsidP="000D7512">
            <w:pPr>
              <w:pStyle w:val="Compact"/>
              <w:spacing w:line="360" w:lineRule="auto"/>
              <w:jc w:val="right"/>
              <w:rPr>
                <w:del w:id="822" w:author="Author"/>
              </w:rPr>
            </w:pPr>
            <w:del w:id="823" w:author="Author">
              <w:r>
                <w:delText>0.025</w:delText>
              </w:r>
            </w:del>
          </w:p>
        </w:tc>
        <w:tc>
          <w:tcPr>
            <w:tcW w:w="1320" w:type="dxa"/>
          </w:tcPr>
          <w:p w14:paraId="62641011" w14:textId="77777777" w:rsidR="00F82D81" w:rsidRDefault="000D7512" w:rsidP="000D7512">
            <w:pPr>
              <w:pStyle w:val="Compact"/>
              <w:spacing w:line="360" w:lineRule="auto"/>
              <w:rPr>
                <w:del w:id="824" w:author="Author"/>
              </w:rPr>
            </w:pPr>
            <w:del w:id="825" w:author="Author">
              <w:r>
                <w:delText>–</w:delText>
              </w:r>
            </w:del>
          </w:p>
        </w:tc>
      </w:tr>
      <w:tr w:rsidR="00F82D81" w14:paraId="3C2CD05B" w14:textId="77777777">
        <w:trPr>
          <w:del w:id="826" w:author="Author"/>
        </w:trPr>
        <w:tc>
          <w:tcPr>
            <w:tcW w:w="1320" w:type="dxa"/>
          </w:tcPr>
          <w:p w14:paraId="4AD375FC" w14:textId="77777777" w:rsidR="00F82D81" w:rsidRDefault="000D7512" w:rsidP="000D7512">
            <w:pPr>
              <w:pStyle w:val="Compact"/>
              <w:spacing w:line="360" w:lineRule="auto"/>
              <w:rPr>
                <w:del w:id="827" w:author="Author"/>
              </w:rPr>
            </w:pPr>
            <w:del w:id="828" w:author="Author">
              <w:r>
                <w:rPr>
                  <w:b/>
                  <w:bCs/>
                </w:rPr>
                <w:delText>Stratified: Low elderly solo HH rate (&lt;12.3%)</w:delText>
              </w:r>
            </w:del>
          </w:p>
        </w:tc>
        <w:tc>
          <w:tcPr>
            <w:tcW w:w="1320" w:type="dxa"/>
          </w:tcPr>
          <w:p w14:paraId="2D6221D6" w14:textId="77777777" w:rsidR="00F82D81" w:rsidRDefault="000D7512" w:rsidP="000D7512">
            <w:pPr>
              <w:pStyle w:val="Compact"/>
              <w:spacing w:line="360" w:lineRule="auto"/>
              <w:jc w:val="right"/>
              <w:rPr>
                <w:del w:id="829" w:author="Author"/>
              </w:rPr>
            </w:pPr>
            <w:del w:id="830" w:author="Author">
              <w:r>
                <w:delText>23</w:delText>
              </w:r>
            </w:del>
          </w:p>
        </w:tc>
        <w:tc>
          <w:tcPr>
            <w:tcW w:w="1320" w:type="dxa"/>
          </w:tcPr>
          <w:p w14:paraId="28B8C7B0" w14:textId="77777777" w:rsidR="00F82D81" w:rsidRDefault="000D7512" w:rsidP="000D7512">
            <w:pPr>
              <w:pStyle w:val="Compact"/>
              <w:spacing w:line="360" w:lineRule="auto"/>
              <w:jc w:val="right"/>
              <w:rPr>
                <w:del w:id="831" w:author="Author"/>
              </w:rPr>
            </w:pPr>
            <w:del w:id="832" w:author="Author">
              <w:r>
                <w:rPr>
                  <w:b/>
                  <w:bCs/>
                </w:rPr>
                <w:delText>1,254.30 (7.69, 2,500.92)</w:delText>
              </w:r>
            </w:del>
          </w:p>
        </w:tc>
        <w:tc>
          <w:tcPr>
            <w:tcW w:w="1320" w:type="dxa"/>
          </w:tcPr>
          <w:p w14:paraId="53D18693" w14:textId="77777777" w:rsidR="00F82D81" w:rsidRDefault="000D7512" w:rsidP="000D7512">
            <w:pPr>
              <w:pStyle w:val="Compact"/>
              <w:spacing w:line="360" w:lineRule="auto"/>
              <w:jc w:val="right"/>
              <w:rPr>
                <w:del w:id="833" w:author="Author"/>
              </w:rPr>
            </w:pPr>
            <w:del w:id="834" w:author="Author">
              <w:r>
                <w:rPr>
                  <w:b/>
                  <w:bCs/>
                </w:rPr>
                <w:delText>0.049</w:delText>
              </w:r>
            </w:del>
          </w:p>
        </w:tc>
        <w:tc>
          <w:tcPr>
            <w:tcW w:w="1320" w:type="dxa"/>
          </w:tcPr>
          <w:p w14:paraId="282494DD" w14:textId="77777777" w:rsidR="00F82D81" w:rsidRDefault="000D7512" w:rsidP="000D7512">
            <w:pPr>
              <w:pStyle w:val="Compact"/>
              <w:spacing w:line="360" w:lineRule="auto"/>
              <w:jc w:val="right"/>
              <w:rPr>
                <w:del w:id="835" w:author="Author"/>
              </w:rPr>
            </w:pPr>
            <w:del w:id="836" w:author="Author">
              <w:r>
                <w:rPr>
                  <w:b/>
                  <w:bCs/>
                </w:rPr>
                <w:delText>0.173</w:delText>
              </w:r>
            </w:del>
          </w:p>
        </w:tc>
        <w:tc>
          <w:tcPr>
            <w:tcW w:w="1320" w:type="dxa"/>
          </w:tcPr>
          <w:p w14:paraId="1E6FA580" w14:textId="77777777" w:rsidR="00F82D81" w:rsidRDefault="000D7512" w:rsidP="000D7512">
            <w:pPr>
              <w:pStyle w:val="Compact"/>
              <w:spacing w:line="360" w:lineRule="auto"/>
              <w:rPr>
                <w:del w:id="837" w:author="Author"/>
              </w:rPr>
            </w:pPr>
            <w:del w:id="838" w:author="Author">
              <w:r>
                <w:delText>–</w:delText>
              </w:r>
            </w:del>
          </w:p>
        </w:tc>
      </w:tr>
    </w:tbl>
    <w:p w14:paraId="1E41F705" w14:textId="77777777" w:rsidR="00F82D81" w:rsidRDefault="000D7512" w:rsidP="000D7512">
      <w:pPr>
        <w:pStyle w:val="a0"/>
        <w:spacing w:line="360" w:lineRule="auto"/>
        <w:rPr>
          <w:del w:id="839" w:author="Author"/>
        </w:rPr>
      </w:pPr>
      <w:del w:id="840"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7C1D9463" w14:textId="77777777" w:rsidR="00F82D81" w:rsidRDefault="000D7512" w:rsidP="000D7512">
      <w:pPr>
        <w:pStyle w:val="a0"/>
        <w:spacing w:line="360" w:lineRule="auto"/>
        <w:rPr>
          <w:ins w:id="841" w:author="Author"/>
        </w:rPr>
      </w:pPr>
      <w:ins w:id="842" w:author="Author">
        <w:r>
          <w:t>N = 47 for all models. Model O-A: exposure alone. Model O-B: Model O-A + prefectural ageing rate. Model O-C: Model O-B + general hospital beds per 100,000. Model O-D: Model O-C + days with WBGT ≥28°C (each model cumulative). All confidence intervals are heteroskedasticity-consistent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15D28B42" w14:textId="77777777" w:rsidR="00F82D81" w:rsidRDefault="00291DF5" w:rsidP="000D7512">
      <w:pPr>
        <w:spacing w:line="360" w:lineRule="auto"/>
      </w:pPr>
      <w:r>
        <w:pict w14:anchorId="28EE9FEE">
          <v:rect id="_x0000_i1040" style="width:0;height:1.5pt" o:hralign="center" o:hrstd="t" o:hr="t"/>
        </w:pict>
      </w:r>
    </w:p>
    <w:bookmarkEnd w:id="620"/>
    <w:p w14:paraId="49352F07" w14:textId="77777777" w:rsidR="00F82D81" w:rsidRDefault="000D7512" w:rsidP="000D7512">
      <w:pPr>
        <w:pStyle w:val="2"/>
        <w:spacing w:line="360" w:lineRule="auto"/>
      </w:pPr>
      <w:r>
        <w:t>Figure Legends</w:t>
      </w:r>
    </w:p>
    <w:p w14:paraId="6293FDC1" w14:textId="77777777" w:rsidR="00F82D81" w:rsidRDefault="000D7512" w:rsidP="000D7512">
      <w:pPr>
        <w:pStyle w:val="FirstParagraph"/>
        <w:spacing w:line="360" w:lineRule="auto"/>
        <w:rPr>
          <w:del w:id="843" w:author="Author"/>
        </w:rPr>
      </w:pPr>
      <w:r>
        <w:t xml:space="preserve">Fig. 1 </w:t>
      </w:r>
      <w:del w:id="844" w:author="Author">
        <w:r>
          <w:delText>Scatter</w:delText>
        </w:r>
      </w:del>
      <w:ins w:id="845" w:author="Author">
        <w:r>
          <w:t>Coefficient</w:t>
        </w:r>
      </w:ins>
      <w:r>
        <w:t xml:space="preserve"> plot </w:t>
      </w:r>
      <w:del w:id="846" w:author="Author">
        <w:r>
          <w:delText>showing the association between</w:delText>
        </w:r>
      </w:del>
      <w:ins w:id="847" w:author="Author">
        <w:r>
          <w:t>for</w:t>
        </w:r>
      </w:ins>
      <w:r>
        <w:t xml:space="preserve"> elderly solo household rate </w:t>
      </w:r>
      <w:del w:id="848" w:author="Author">
        <w:r>
          <w:delText xml:space="preserve">(%) and infusion therapy utilization (per 100,000 population) </w:delText>
        </w:r>
      </w:del>
      <w:r>
        <w:t xml:space="preserve">across </w:t>
      </w:r>
      <w:del w:id="849" w:author="Author">
        <w:r>
          <w:delText>47 Japanese prefectures, stratified by the median elderly solo household rate (12.3%). Solid line represents the linear regression fit within each stratum,</w:delText>
        </w:r>
      </w:del>
      <w:ins w:id="850" w:author="Author">
        <w:r>
          <w:t>Models O-A through O-D, showing unstandardized coefficients</w:t>
        </w:r>
      </w:ins>
      <w:r>
        <w:t xml:space="preserve"> with </w:t>
      </w:r>
      <w:del w:id="851" w:author="Author">
        <w:r>
          <w:delText>shaded area indicating</w:delText>
        </w:r>
      </w:del>
      <w:ins w:id="852" w:author="Author">
        <w:r>
          <w:t>HC3</w:t>
        </w:r>
      </w:ins>
      <w:r>
        <w:t xml:space="preserve"> 95% confidence </w:t>
      </w:r>
      <w:del w:id="853" w:author="Author">
        <w:r>
          <w:delText>interval. Top 5 and bottom 5 prefectures by infusion therapy rate are labeled.</w:delText>
        </w:r>
      </w:del>
    </w:p>
    <w:p w14:paraId="185A0765" w14:textId="627AB88B" w:rsidR="00F82D81" w:rsidRDefault="000D7512" w:rsidP="000D7512">
      <w:pPr>
        <w:pStyle w:val="FirstParagraph"/>
        <w:spacing w:line="360" w:lineRule="auto"/>
      </w:pPr>
      <w:del w:id="854"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855" w:author="Author">
        <w:r>
          <w:t>intervals and a zero reference line</w:t>
        </w:r>
      </w:ins>
      <w:r>
        <w:t>.</w:t>
      </w:r>
    </w:p>
    <w:p w14:paraId="50DA7E17" w14:textId="77777777" w:rsidR="00F82D81" w:rsidRDefault="000D7512" w:rsidP="000D7512">
      <w:pPr>
        <w:pStyle w:val="2"/>
        <w:spacing w:line="360" w:lineRule="auto"/>
      </w:pPr>
      <w:r>
        <w:rPr>
          <w:b/>
        </w:rPr>
        <w:t>Fig. 1</w:t>
      </w:r>
    </w:p>
    <w:p w14:paraId="190687C3" w14:textId="77777777" w:rsidR="00F82D81" w:rsidRDefault="000D7512" w:rsidP="000D7512">
      <w:pPr>
        <w:pStyle w:val="FirstParagraph"/>
        <w:spacing w:line="360" w:lineRule="auto"/>
        <w:rPr>
          <w:del w:id="856" w:author="Author"/>
        </w:rPr>
      </w:pPr>
      <w:del w:id="857" w:author="Author">
        <w:r>
          <w:rPr>
            <w:noProof/>
          </w:rPr>
          <w:drawing>
            <wp:inline distT="0" distB="0" distL="0" distR="0" wp14:anchorId="6BCCFF21" wp14:editId="326490EC">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10"/>
                      <a:stretch>
                        <a:fillRect/>
                      </a:stretch>
                    </pic:blipFill>
                    <pic:spPr bwMode="auto">
                      <a:xfrm>
                        <a:off x="0" y="0"/>
                        <a:ext cx="5029200" cy="1954040"/>
                      </a:xfrm>
                      <a:prstGeom prst="rect">
                        <a:avLst/>
                      </a:prstGeom>
                      <a:noFill/>
                      <a:ln w="9525">
                        <a:noFill/>
                        <a:headEnd/>
                        <a:tailEnd/>
                      </a:ln>
                    </pic:spPr>
                  </pic:pic>
                </a:graphicData>
              </a:graphic>
            </wp:inline>
          </w:drawing>
        </w:r>
      </w:del>
    </w:p>
    <w:p w14:paraId="2A930075" w14:textId="77777777" w:rsidR="00F82D81" w:rsidRDefault="000D7512" w:rsidP="000D7512">
      <w:pPr>
        <w:pStyle w:val="2"/>
        <w:spacing w:line="360" w:lineRule="auto"/>
        <w:rPr>
          <w:del w:id="858" w:author="Author"/>
        </w:rPr>
      </w:pPr>
      <w:del w:id="859" w:author="Author">
        <w:r>
          <w:rPr>
            <w:b/>
          </w:rPr>
          <w:delText>Fig. 2</w:delText>
        </w:r>
      </w:del>
    </w:p>
    <w:p w14:paraId="64856051" w14:textId="77777777" w:rsidR="00F82D81" w:rsidRDefault="000D7512" w:rsidP="000D7512">
      <w:pPr>
        <w:pStyle w:val="FirstParagraph"/>
        <w:spacing w:line="360" w:lineRule="auto"/>
        <w:rPr>
          <w:del w:id="860" w:author="Author"/>
        </w:rPr>
      </w:pPr>
      <w:del w:id="861" w:author="Author">
        <w:r>
          <w:rPr>
            <w:noProof/>
          </w:rPr>
          <w:drawing>
            <wp:inline distT="0" distB="0" distL="0" distR="0" wp14:anchorId="571871FE" wp14:editId="5FDA0952">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11"/>
                      <a:stretch>
                        <a:fillRect/>
                      </a:stretch>
                    </pic:blipFill>
                    <pic:spPr bwMode="auto">
                      <a:xfrm>
                        <a:off x="0" y="0"/>
                        <a:ext cx="5029200" cy="3576427"/>
                      </a:xfrm>
                      <a:prstGeom prst="rect">
                        <a:avLst/>
                      </a:prstGeom>
                      <a:noFill/>
                      <a:ln w="9525">
                        <a:noFill/>
                        <a:headEnd/>
                        <a:tailEnd/>
                      </a:ln>
                    </pic:spPr>
                  </pic:pic>
                </a:graphicData>
              </a:graphic>
            </wp:inline>
          </w:drawing>
        </w:r>
      </w:del>
    </w:p>
    <w:p w14:paraId="69240E5F" w14:textId="77777777" w:rsidR="00F82D81" w:rsidRDefault="000D7512" w:rsidP="000D7512">
      <w:pPr>
        <w:pStyle w:val="FirstParagraph"/>
        <w:spacing w:line="360" w:lineRule="auto"/>
        <w:rPr>
          <w:ins w:id="862" w:author="Author"/>
        </w:rPr>
      </w:pPr>
      <w:ins w:id="863" w:author="Author">
        <w:r>
          <w:rPr>
            <w:noProof/>
          </w:rPr>
          <w:drawing>
            <wp:inline distT="0" distB="0" distL="0" distR="0" wp14:anchorId="260DEC7F" wp14:editId="7F369A60">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12"/>
                      <a:stretch>
                        <a:fillRect/>
                      </a:stretch>
                    </pic:blipFill>
                    <pic:spPr>
                      <a:xfrm>
                        <a:off x="0" y="0"/>
                        <a:ext cx="5029200" cy="3771900"/>
                      </a:xfrm>
                      <a:prstGeom prst="rect">
                        <a:avLst/>
                      </a:prstGeom>
                    </pic:spPr>
                  </pic:pic>
                </a:graphicData>
              </a:graphic>
            </wp:inline>
          </w:drawing>
        </w:r>
      </w:ins>
    </w:p>
    <w:p w14:paraId="2748406F" w14:textId="77777777" w:rsidR="00F82D81" w:rsidRDefault="00291DF5" w:rsidP="000D7512">
      <w:pPr>
        <w:spacing w:line="360" w:lineRule="auto"/>
      </w:pPr>
      <w:r>
        <w:pict w14:anchorId="76C62555">
          <v:rect id="_x0000_i1041" style="width:0;height:1.5pt" o:hralign="center" o:hrstd="t" o:hr="t"/>
        </w:pict>
      </w:r>
    </w:p>
    <w:p w14:paraId="19DCA7B6" w14:textId="77777777" w:rsidR="00F82D81" w:rsidRDefault="000D7512" w:rsidP="000D7512">
      <w:pPr>
        <w:pStyle w:val="2"/>
        <w:spacing w:line="360" w:lineRule="auto"/>
      </w:pPr>
      <w:r>
        <w:rPr>
          <w:b/>
        </w:rPr>
        <w:t>Online Resource 1</w:t>
      </w:r>
    </w:p>
    <w:p w14:paraId="3766891E" w14:textId="77777777" w:rsidR="00F82D81" w:rsidRDefault="000D7512" w:rsidP="000D7512">
      <w:pPr>
        <w:pStyle w:val="FirstParagraph"/>
        <w:spacing w:line="360" w:lineRule="auto"/>
        <w:rPr>
          <w:del w:id="864" w:author="Author"/>
        </w:rPr>
      </w:pPr>
      <w:del w:id="865"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866"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867"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411AAC3C" w14:textId="73A71F9C" w:rsidR="00F82D81" w:rsidRDefault="000D7512" w:rsidP="000D7512">
      <w:pPr>
        <w:pStyle w:val="FirstParagraph"/>
        <w:spacing w:line="360" w:lineRule="auto"/>
      </w:pPr>
      <w:del w:id="869" w:author="Author">
        <w:r>
          <w:rPr>
            <w:noProof/>
          </w:rPr>
          <w:drawing>
            <wp:inline distT="0" distB="0" distL="0" distR="0" wp14:anchorId="6D748A19" wp14:editId="2AE2C69D">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3"/>
                      <a:stretch>
                        <a:fillRect/>
                      </a:stretch>
                    </pic:blipFill>
                    <pic:spPr bwMode="auto">
                      <a:xfrm>
                        <a:off x="0" y="0"/>
                        <a:ext cx="5029200" cy="6353539"/>
                      </a:xfrm>
                      <a:prstGeom prst="rect">
                        <a:avLst/>
                      </a:prstGeom>
                      <a:noFill/>
                      <a:ln w="9525">
                        <a:noFill/>
                        <a:headEnd/>
                        <a:tailEnd/>
                      </a:ln>
                    </pic:spPr>
                  </pic:pic>
                </a:graphicData>
              </a:graphic>
            </wp:inline>
          </w:drawing>
        </w:r>
      </w:del>
    </w:p>
    <w:sectPr w:rsidR="00F82D81" w:rsidSect="000D7512">
      <w:headerReference w:type="default" r:id="rId14"/>
      <w:footerReference w:type="default" r:id="rId15"/>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7817B" w14:textId="77777777" w:rsidR="00291DF5" w:rsidRDefault="00291DF5" w:rsidP="000D7512">
      <w:pPr>
        <w:spacing w:after="0"/>
      </w:pPr>
      <w:r>
        <w:separator/>
      </w:r>
    </w:p>
  </w:endnote>
  <w:endnote w:type="continuationSeparator" w:id="0">
    <w:p w14:paraId="35628818" w14:textId="77777777" w:rsidR="00291DF5" w:rsidRDefault="00291DF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36B22" w14:textId="77777777" w:rsidR="00291DF5" w:rsidRDefault="00291DF5">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80780" w14:textId="77777777" w:rsidR="00291DF5" w:rsidRDefault="00291DF5" w:rsidP="000D7512">
      <w:pPr>
        <w:spacing w:after="0"/>
      </w:pPr>
      <w:r>
        <w:separator/>
      </w:r>
    </w:p>
  </w:footnote>
  <w:footnote w:type="continuationSeparator" w:id="0">
    <w:p w14:paraId="513C5C59" w14:textId="77777777" w:rsidR="00291DF5" w:rsidRDefault="00291DF5"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F2FD" w14:textId="77777777" w:rsidR="00291DF5" w:rsidRDefault="00291DF5">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B0846"/>
    <w:rsid w:val="001D7459"/>
    <w:rsid w:val="00244DDC"/>
    <w:rsid w:val="00291DF5"/>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0FF9"/>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4176D"/>
    <w:rsid w:val="00D5141D"/>
    <w:rsid w:val="00D77B4B"/>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291D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8590</Words>
  <Characters>48966</Characters>
  <Application>Microsoft Office Word</Application>
  <DocSecurity>0</DocSecurity>
  <Lines>408</Lines>
  <Paragraphs>114</Paragraphs>
  <ScaleCrop>false</ScaleCrop>
  <Company/>
  <LinksUpToDate>false</LinksUpToDate>
  <CharactersWithSpaces>57442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2026-08-02T08:51:00Z</dcterms:modified>
</cp:coreProperties>
</file>