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30ED1" w14:textId="77777777" w:rsidR="00F82D81" w:rsidRDefault="000D7512" w:rsidP="000D7512">
      <w:pPr>
        <w:pStyle w:val="Title"/>
        <w:spacing w:line="360" w:lineRule="auto"/>
      </w:pPr>
      <w:r>
        <w:t>Population Age Structure Explains the Ecological Association Between Older-Adult Solo Household Rate and Large-Volume Infusion Therapy Utilization in Japan</w:t>
      </w:r>
    </w:p>
    <w:p w14:paraId="7397C801" w14:textId="77777777" w:rsidR="006168B1" w:rsidRDefault="006168B1" w:rsidP="006168B1">
      <w:pPr>
        <w:pStyle w:val="BodyText"/>
        <w:rPr>
          <w:lang w:eastAsia="ja-JP"/>
        </w:rPr>
      </w:pPr>
    </w:p>
    <w:p w14:paraId="20E0B551" w14:textId="73C8093C" w:rsidR="006168B1" w:rsidRDefault="006168B1" w:rsidP="006168B1">
      <w:pPr>
        <w:pStyle w:val="BodyText"/>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EC80A74" w14:textId="77777777" w:rsidR="006168B1" w:rsidRDefault="006168B1" w:rsidP="006168B1">
      <w:pPr>
        <w:pStyle w:val="BodyText"/>
        <w:numPr>
          <w:ilvl w:val="0"/>
          <w:numId w:val="6"/>
        </w:numPr>
        <w:rPr>
          <w:lang w:eastAsia="ja-JP"/>
        </w:rPr>
      </w:pPr>
      <w:r>
        <w:rPr>
          <w:lang w:eastAsia="ja-JP"/>
        </w:rPr>
        <w:t xml:space="preserve">Department of Epidemiology, Fukushima Medical University School of Medicine, </w:t>
      </w:r>
    </w:p>
    <w:p w14:paraId="1655CE92" w14:textId="02B39782" w:rsidR="006168B1" w:rsidRDefault="006168B1" w:rsidP="006168B1">
      <w:pPr>
        <w:pStyle w:val="BodyText"/>
        <w:ind w:left="360"/>
        <w:rPr>
          <w:lang w:eastAsia="ja-JP"/>
        </w:rPr>
      </w:pPr>
      <w:r>
        <w:rPr>
          <w:lang w:eastAsia="ja-JP"/>
        </w:rPr>
        <w:t>Fukushima, Japan</w:t>
      </w:r>
    </w:p>
    <w:p w14:paraId="70E278A5" w14:textId="77777777" w:rsidR="006168B1" w:rsidRDefault="006168B1" w:rsidP="006168B1">
      <w:pPr>
        <w:pStyle w:val="BodyText"/>
        <w:numPr>
          <w:ilvl w:val="0"/>
          <w:numId w:val="6"/>
        </w:numPr>
        <w:rPr>
          <w:lang w:eastAsia="ja-JP"/>
        </w:rPr>
      </w:pPr>
      <w:r>
        <w:rPr>
          <w:lang w:eastAsia="ja-JP"/>
        </w:rPr>
        <w:t>Radiation Medical Science Center for the Fukushima Health Management Survey,</w:t>
      </w:r>
    </w:p>
    <w:p w14:paraId="6A766721" w14:textId="6373E9F0" w:rsidR="006168B1" w:rsidRDefault="006168B1" w:rsidP="006168B1">
      <w:pPr>
        <w:pStyle w:val="BodyText"/>
        <w:ind w:left="360"/>
        <w:rPr>
          <w:lang w:eastAsia="ja-JP"/>
        </w:rPr>
      </w:pPr>
      <w:r>
        <w:rPr>
          <w:lang w:eastAsia="ja-JP"/>
        </w:rPr>
        <w:t>Fukushima Medical University, Fukushima, Japan</w:t>
      </w:r>
    </w:p>
    <w:p w14:paraId="20C310CE" w14:textId="5B5F4882" w:rsidR="006168B1" w:rsidRPr="006168B1" w:rsidRDefault="006168B1" w:rsidP="006168B1">
      <w:pPr>
        <w:pStyle w:val="BodyText"/>
        <w:rPr>
          <w:lang w:eastAsia="ja-JP"/>
        </w:rPr>
      </w:pPr>
      <w:r>
        <w:rPr>
          <w:lang w:eastAsia="ja-JP"/>
        </w:rPr>
        <w:t>*Corresponding author. Email: m211039@fmu.ac.jp</w:t>
      </w:r>
    </w:p>
    <w:p w14:paraId="59AC3E3E" w14:textId="77777777" w:rsidR="00F82D81" w:rsidRDefault="00B15E45" w:rsidP="000D7512">
      <w:pPr>
        <w:spacing w:line="360" w:lineRule="auto"/>
      </w:pPr>
      <w:r>
        <w:pict w14:anchorId="715EA0A1">
          <v:rect id="_x0000_i1026" style="width:0;height:1.5pt" o:hralign="center" o:bullet="t" o:hrstd="t" o:hr="t"/>
        </w:pict>
      </w:r>
    </w:p>
    <w:p w14:paraId="280C5AA1" w14:textId="77777777" w:rsidR="00244DDC" w:rsidRDefault="00244DDC" w:rsidP="000D7512">
      <w:pPr>
        <w:spacing w:line="360" w:lineRule="auto"/>
        <w:rPr>
          <w:lang w:eastAsia="ja-JP"/>
        </w:rPr>
      </w:pPr>
    </w:p>
    <w:p w14:paraId="1DC601E7" w14:textId="77777777" w:rsidR="00244DDC" w:rsidRDefault="00244DDC" w:rsidP="000D7512">
      <w:pPr>
        <w:spacing w:line="360" w:lineRule="auto"/>
        <w:rPr>
          <w:lang w:eastAsia="ja-JP"/>
        </w:rPr>
      </w:pPr>
    </w:p>
    <w:p w14:paraId="03CBAA32" w14:textId="77777777" w:rsidR="00244DDC" w:rsidRDefault="00244DDC" w:rsidP="000D7512">
      <w:pPr>
        <w:spacing w:line="360" w:lineRule="auto"/>
        <w:rPr>
          <w:lang w:eastAsia="ja-JP"/>
        </w:rPr>
      </w:pPr>
    </w:p>
    <w:p w14:paraId="3FDCB3F4" w14:textId="70FC0242" w:rsidR="00F82D81" w:rsidRDefault="000D7512" w:rsidP="000D7512">
      <w:pPr>
        <w:pStyle w:val="Heading1"/>
        <w:spacing w:line="360" w:lineRule="auto"/>
      </w:pPr>
      <w:r>
        <w:lastRenderedPageBreak/>
        <w:t>Abstract</w:t>
      </w:r>
    </w:p>
    <w:p w14:paraId="10F072E8" w14:textId="77777777" w:rsidR="00F82D81" w:rsidRDefault="000D7512" w:rsidP="000D7512">
      <w:pPr>
        <w:pStyle w:val="Heading2"/>
        <w:spacing w:line="360" w:lineRule="auto"/>
      </w:pPr>
      <w:bookmarkStart w:id="0" w:name="background"/>
      <w:r>
        <w:t>Background</w:t>
      </w:r>
    </w:p>
    <w:p w14:paraId="7374EAE5" w14:textId="77777777" w:rsidR="00F82D81" w:rsidRDefault="000D7512" w:rsidP="000D7512">
      <w:pPr>
        <w:pStyle w:val="FirstParagraph"/>
        <w:spacing w:line="360" w:lineRule="auto"/>
      </w:pPr>
      <w:r>
        <w:t>Older adults living alone are often considered vulnerable to heat because of reduced informal monitoring, delayed help-seeking, and barriers to cooling. Prefecture-level indicators such as elderly solo household rate have been proposed as routinely available markers of this vulnerability, but such indicators may also reflect a prefecture's underlying population age structure. We examined the association between elderly solo household rate and large-volume infusion therapy utilization, and tested whether this association remained after accounting for population age structure, healthcare supply, and summer heat exposure.</w:t>
      </w:r>
    </w:p>
    <w:p w14:paraId="6764515E" w14:textId="77777777" w:rsidR="00F82D81" w:rsidRDefault="000D7512" w:rsidP="000D7512">
      <w:pPr>
        <w:pStyle w:val="Heading2"/>
        <w:spacing w:line="360" w:lineRule="auto"/>
      </w:pPr>
      <w:bookmarkStart w:id="1" w:name="methods"/>
      <w:bookmarkEnd w:id="0"/>
      <w:r>
        <w:t>Methods</w:t>
      </w:r>
    </w:p>
    <w:p w14:paraId="0E927EDC" w14:textId="77777777" w:rsidR="00F82D81" w:rsidRDefault="000D7512" w:rsidP="000D7512">
      <w:pPr>
        <w:pStyle w:val="FirstParagraph"/>
        <w:spacing w:line="360" w:lineRule="auto"/>
      </w:pPr>
      <w:r>
        <w:t>We conducted an ecological study of 47 Japanese prefectures using fiscal year 2023 data. Large-volume infusion therapy utilization (procedure code G004, ≥500 mL) from the National Database (NDB) Open Data was used as the outcome, expressed per 100,000 population. Elderly solo household rate, defined as the percentage of all households consisting of one person aged ≥65 years, was derived from the 2020 National Census and used as the primary exposure. We fit cumulative regression models adding, in turn, prefectural ageing rate, general hospital beds per 100,000 population, and official daily-maximum wet-bulb globe temperature (WBGT) days (≥28°C, June–September 2023). Nonlinearity, metropolitan influence, and an alternative exposure using the older population as the denominator were also examined.</w:t>
      </w:r>
    </w:p>
    <w:p w14:paraId="25196D21" w14:textId="77777777" w:rsidR="00F82D81" w:rsidRDefault="000D7512" w:rsidP="000D7512">
      <w:pPr>
        <w:pStyle w:val="Heading2"/>
        <w:spacing w:line="360" w:lineRule="auto"/>
      </w:pPr>
      <w:bookmarkStart w:id="3" w:name="results"/>
      <w:bookmarkEnd w:id="1"/>
      <w:r>
        <w:t>Results</w:t>
      </w:r>
    </w:p>
    <w:p w14:paraId="5B7C4F19" w14:textId="77777777" w:rsidR="00F82D81" w:rsidRDefault="000D7512" w:rsidP="000D7512">
      <w:pPr>
        <w:pStyle w:val="FirstParagraph"/>
        <w:spacing w:line="360" w:lineRule="auto"/>
      </w:pPr>
      <w:r>
        <w:t>Elderly solo household rate was associated with infusion therapy utilization in the unadjusted analysis (β = 656.2; 95% CI, 326.9–985.6; p &lt; 0.001). Adding prefectural ageing rate attenuated the estimate by 53.3% (β = 306.1; 95% CI, −71.3–683.5; p = 0.112), and the association was no longer statistically significant. Further adjustment for healthcare supply and WBGT reduced the estimate toward zero (β = −9.4; 95% CI, −493.9–475.1; p = 0.970).</w:t>
      </w:r>
    </w:p>
    <w:bookmarkEnd w:id="3"/>
    <w:p w14:paraId="4AF35031" w14:textId="77777777" w:rsidR="00F82D81" w:rsidRDefault="000D7512" w:rsidP="000D7512">
      <w:pPr>
        <w:pStyle w:val="Heading2"/>
        <w:spacing w:line="360" w:lineRule="auto"/>
      </w:pPr>
      <w:r>
        <w:lastRenderedPageBreak/>
        <w:t>Conclusions</w:t>
      </w:r>
    </w:p>
    <w:p w14:paraId="73584708" w14:textId="77777777" w:rsidR="00F82D81" w:rsidRDefault="000D7512" w:rsidP="000D7512">
      <w:pPr>
        <w:pStyle w:val="FirstParagraph"/>
        <w:spacing w:line="360" w:lineRule="auto"/>
      </w:pPr>
      <w:r>
        <w:t>The prefectural elderly solo household rate was associated with large-volume infusion therapy utilization in the unadjusted analysis, but this association was substantially explained by prefectural population age structure and was further attenuated toward zero after additional adjustment for healthcare supply and summer heat exposure. These findings indicate that population age structure is a key driver of the apparent ecological association between elderly solo household rate and infusion therapy utilization, underscoring the importance of accounting for demographic composition when evaluating routinely available household-composition indicators for heat-health and social-vulnerability surveillance.</w:t>
      </w:r>
    </w:p>
    <w:p w14:paraId="1CA9F8F1" w14:textId="77777777" w:rsidR="00F82D81" w:rsidRDefault="000D7512" w:rsidP="000D7512">
      <w:pPr>
        <w:pStyle w:val="BodyText"/>
        <w:spacing w:line="360" w:lineRule="auto"/>
      </w:pPr>
      <w:r>
        <w:t>Keywords: heat-health surveillance; elderly solo household rate; population ageing; healthcare utilization; ecological study; Japan</w:t>
      </w:r>
    </w:p>
    <w:p w14:paraId="3FBFF2EB" w14:textId="77777777" w:rsidR="00F82D81" w:rsidRDefault="00B15E45" w:rsidP="000D7512">
      <w:pPr>
        <w:spacing w:line="360" w:lineRule="auto"/>
      </w:pPr>
      <w:r>
        <w:pict w14:anchorId="56452677">
          <v:rect id="_x0000_i1027" style="width:0;height:1.5pt" o:hralign="center" o:hrstd="t" o:hr="t"/>
        </w:pict>
      </w:r>
    </w:p>
    <w:p w14:paraId="41D6F225" w14:textId="77777777" w:rsidR="00F82D81" w:rsidRDefault="000D7512" w:rsidP="000D7512">
      <w:pPr>
        <w:pStyle w:val="Heading1"/>
        <w:spacing w:line="360" w:lineRule="auto"/>
      </w:pPr>
      <w:r>
        <w:t>Introduction</w:t>
      </w:r>
    </w:p>
    <w:p w14:paraId="6E1447EF" w14:textId="77777777"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 Climate change, population aging, and urbanization are expected to increase this burden (IPCC 2021; Günsche et al. 2026)</w:t>
      </w:r>
    </w:p>
    <w:p w14:paraId="1B189B81" w14:textId="71D56709" w:rsidR="00F82D81" w:rsidRDefault="000D7512" w:rsidP="000D7512">
      <w:pPr>
        <w:pStyle w:val="BodyText"/>
        <w:spacing w:line="360" w:lineRule="auto"/>
      </w:pPr>
      <w:r>
        <w:t xml:space="preserve">Heat-health responses have therefore emphasized meteorological surveillance. Temperature, humidity, and </w:t>
      </w:r>
      <w:r>
        <w:t xml:space="preserve">WBGT </w:t>
      </w:r>
      <w:r w:rsidR="000F7BB4">
        <w:rPr>
          <w:rStyle w:val="CommentReference"/>
          <w:sz w:val="24"/>
          <w:szCs w:val="24"/>
        </w:rPr>
      </w:r>
      <w:r>
        <w:t>are established proximal determinants of heatstroke (Parsons 2006; Blazejczyk et al. 2012) and Japan has implemented WBGT forecasting and heat alert systems (Ministry of the Environment Japan n.d.) These systems are essential, but they primarily describe environmental hazard. They do not necessarily identify communities least able to receive warnings, act on them, or obtain timely assistance.</w:t>
      </w:r>
    </w:p>
    <w:p w14:paraId="1A126B1F" w14:textId="77777777" w:rsidR="00F82D81" w:rsidRDefault="000D7512" w:rsidP="000D7512">
      <w:pPr>
        <w:pStyle w:val="BodyText"/>
        <w:spacing w:line="360" w:lineRule="auto"/>
      </w:pP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 reduced sweating capacity, diminished thirst perception, impaired thermoregulation, and chronic disease (Kenney and Munce 2003; Bouchama and Knochel 2002; Vandentorren et al. 2006; Canouï-Poitrine et al. 2006; MIC 2015; Farbotko and Waitt 2011; Semenza et al. 1996; Naughton et al. 2002; Oberai et al. 2025; Zhang et al. 2025).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p>
    <w:p w14:paraId="4FA45422" w14:textId="77777777" w:rsidR="00F82D81" w:rsidRDefault="000D7512" w:rsidP="000D7512">
      <w:pPr>
        <w:pStyle w:val="BodyText"/>
        <w:spacing w:line="360" w:lineRule="auto"/>
      </w:pPr>
      <w:r>
        <w:t>Japanese studies have examined individual risk factors and ambulance transport data (Ng et al. 2014; Miyatake et al. 2012), but nationwide ecological evidence linking elderly solo household rate to large-volume infusion therapy utilization, and on whether such an association is independent of population age structure, healthcare supply, and heat exposure, is limited. We therefore examined whether elderly solo household rate was associated with large-volume infusion therapy utilization, and the extent to which this association remained after accounting for prefectural ageing rate, healthcare supply, and official heat-exposure measures.</w:t>
      </w:r>
    </w:p>
    <w:p w14:paraId="6E3C8E51" w14:textId="77777777" w:rsidR="00F82D81" w:rsidRDefault="00B15E45" w:rsidP="000D7512">
      <w:pPr>
        <w:spacing w:line="360" w:lineRule="auto"/>
      </w:pPr>
      <w:r>
        <w:pict w14:anchorId="35E18550">
          <v:rect id="_x0000_i1028" style="width:0;height:1.5pt" o:hralign="center" o:hrstd="t" o:hr="t"/>
        </w:pict>
      </w:r>
    </w:p>
    <w:p w14:paraId="242C9DD5" w14:textId="77777777" w:rsidR="00F82D81" w:rsidRDefault="000D7512" w:rsidP="000D7512">
      <w:pPr>
        <w:pStyle w:val="Heading1"/>
        <w:spacing w:line="360" w:lineRule="auto"/>
      </w:pPr>
      <w:r>
        <w:t>Materials and methods</w:t>
      </w:r>
    </w:p>
    <w:p w14:paraId="5EAFB723" w14:textId="77777777" w:rsidR="00F82D81" w:rsidRDefault="000D7512" w:rsidP="000D7512">
      <w:pPr>
        <w:pStyle w:val="Heading2"/>
        <w:spacing w:line="360" w:lineRule="auto"/>
      </w:pPr>
      <w:bookmarkStart w:id="8" w:name="study-design"/>
      <w:r>
        <w:t>1. Study Design</w:t>
      </w:r>
    </w:p>
    <w:p w14:paraId="1611B3DA" w14:textId="0CF62AE8" w:rsidR="00F82D81" w:rsidRDefault="000D7512" w:rsidP="000D7512">
      <w:pPr>
        <w:pStyle w:val="FirstParagraph"/>
        <w:spacing w:line="360" w:lineRule="auto"/>
      </w:pPr>
      <w:r>
        <w:t>We conducted a nationwide ecological study using Japanese prefectures (N = 47) as the unit of analysis; the prefectures ranged in total 2023 population from approximately 0.5 million to 14.1 million, together representing Japan's total population of approximately 124.4 million. Prefecture-level aggregate data were used because individual household and geospatial information are not available from NDB Open Data. The study period was fiscal year 2023 (April 2023 through March 2024); heat exposure was measured using official Ministry of the Environment wet-bulb globe temperature (WBGT) monitoring-site observations during the summer season (June–September 2023), an unusually hot summer at the time of data collection (Japan Meteorological Agency 2023).</w:t>
      </w:r>
    </w:p>
    <w:p w14:paraId="402D6885" w14:textId="77777777" w:rsidR="00F82D81" w:rsidRDefault="000D7512" w:rsidP="000D7512">
      <w:pPr>
        <w:pStyle w:val="Heading2"/>
        <w:spacing w:line="360" w:lineRule="auto"/>
      </w:pPr>
      <w:bookmarkStart w:id="14" w:name="outcome-infusion-therapy-utilization"/>
      <w:bookmarkEnd w:id="8"/>
      <w:r>
        <w:t>2. Outcome: Large-Volume Infusion Therapy Utilization</w:t>
      </w:r>
    </w:p>
    <w:p w14:paraId="290F843E" w14:textId="77777777"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 As a construct validity check, we examined the cross-prefectural correlation between infusion therapy utilization and the summer 2023 heatstroke ambulance transport rate from the Fire and Disaster Management Agency (FDMA) daily transport report (Fire and Disaster Management Agency 2023); this provides limited support for the presence of a heat-related component in the outcome rather than validating it as a direct heat-illness measure.</w:t>
      </w:r>
    </w:p>
    <w:p w14:paraId="535114C4" w14:textId="77777777" w:rsidR="00F82D81" w:rsidRDefault="000D7512" w:rsidP="000D7512">
      <w:pPr>
        <w:pStyle w:val="Heading2"/>
        <w:spacing w:line="360" w:lineRule="auto"/>
      </w:pPr>
      <w:bookmarkStart w:id="15" w:name="exposure-elderly-solo-household-rate"/>
      <w:bookmarkEnd w:id="14"/>
      <w:r>
        <w:t>3. Exposure: Elderly Solo Household Rate</w:t>
      </w:r>
    </w:p>
    <w:p w14:paraId="68967FAA" w14:textId="77777777" w:rsidR="00F82D81" w:rsidRDefault="000D7512" w:rsidP="000D7512">
      <w:pPr>
        <w:pStyle w:val="FirstParagraph"/>
        <w:spacing w:line="360" w:lineRule="auto"/>
      </w:pPr>
      <w:r>
        <w:t>Elderly solo household rate was defined as the percentage of all households consisting of one person aged ≥65 years, derived from the 2020 National Census. 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p>
    <w:p w14:paraId="70AC7C24" w14:textId="77777777" w:rsidR="00F82D81" w:rsidRDefault="000D7512" w:rsidP="000D7512">
      <w:pPr>
        <w:pStyle w:val="Heading2"/>
        <w:spacing w:line="360" w:lineRule="auto"/>
      </w:pPr>
      <w:bookmarkStart w:id="16" w:name="climatic-covariates"/>
      <w:bookmarkEnd w:id="15"/>
      <w:r>
        <w:t>4. Climatic Covariates</w:t>
      </w:r>
    </w:p>
    <w:p w14:paraId="242353B0" w14:textId="77777777" w:rsidR="00F82D81" w:rsidRDefault="000D7512" w:rsidP="000D7512">
      <w:pPr>
        <w:pStyle w:val="FirstParagraph"/>
        <w:spacing w:line="360" w:lineRule="auto"/>
      </w:pP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p>
    <w:p w14:paraId="7A4E3BE9" w14:textId="77777777" w:rsidR="00F82D81" w:rsidRDefault="000D7512" w:rsidP="000D7512">
      <w:pPr>
        <w:pStyle w:val="Heading2"/>
        <w:spacing w:line="360" w:lineRule="auto"/>
      </w:pPr>
      <w:bookmarkStart w:id="20" w:name="additional-covariates"/>
      <w:bookmarkEnd w:id="16"/>
      <w:r>
        <w:t>5. Prefectural Ageing Rate and Healthcare Supply</w:t>
      </w:r>
    </w:p>
    <w:p w14:paraId="265D4398" w14:textId="77777777" w:rsidR="00F82D81" w:rsidRDefault="000D7512" w:rsidP="000D7512">
      <w:pPr>
        <w:pStyle w:val="FirstParagraph"/>
        <w:spacing w:line="360" w:lineRule="auto"/>
      </w:pPr>
      <w:r>
        <w:t>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Air conditioning prevalence (proportion of households owning at least one air conditioning unit, %), obtained from the 2014 National Survey of Family Income and Expenditure, is retained for descriptive purposes (Table 1) but was not included in the primary adjusted models, because these data describe ownership rather than use.</w:t>
      </w:r>
    </w:p>
    <w:p w14:paraId="62F6F210" w14:textId="77777777" w:rsidR="00F82D81" w:rsidRDefault="000D7512" w:rsidP="000D7512">
      <w:pPr>
        <w:pStyle w:val="Heading2"/>
        <w:spacing w:line="360" w:lineRule="auto"/>
      </w:pPr>
      <w:bookmarkStart w:id="23" w:name="statistical-analysis"/>
      <w:bookmarkEnd w:id="20"/>
      <w:r>
        <w:t>6. Statistical Analysis</w:t>
      </w:r>
    </w:p>
    <w:p w14:paraId="36B13378" w14:textId="77777777" w:rsidR="00F82D81" w:rsidRDefault="000D7512" w:rsidP="000D7512">
      <w:pPr>
        <w:pStyle w:val="FirstParagraph"/>
        <w:spacing w:line="360" w:lineRule="auto"/>
      </w:pPr>
      <w:r>
        <w:t>All primary models used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p>
    <w:p w14:paraId="47104C66" w14:textId="77777777" w:rsidR="00F82D81" w:rsidRDefault="000D7512" w:rsidP="000D7512">
      <w:pPr>
        <w:pStyle w:val="BodyText"/>
        <w:spacing w:line="360" w:lineRule="auto"/>
      </w:pP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p>
    <w:p w14:paraId="574FBBAC" w14:textId="58317A46" w:rsidR="00F82D81" w:rsidRDefault="000D7512" w:rsidP="000D7512">
      <w:pPr>
        <w:pStyle w:val="BodyText"/>
        <w:spacing w:line="360" w:lineRule="auto"/>
      </w:pPr>
      <w:r>
        <w:t>Regression coefficients (β), 95% confidence intervals (CIs), R², adjusted R², and p-values are reported, together with regression diagnostics (residuals, leverage, Cook's distance, DFBETAs) for the fully adjusted model. Statistical significance was defined as two-sided p &lt; 0.05, interpreted alongside effect estimates and confidence intervals rather than significance alone. Analyses were performed using Python (version 3.14), statsmodels (version 0.14), scikit-learn, and matplotlib.</w:t>
      </w:r>
    </w:p>
    <w:p w14:paraId="28DF8E6D" w14:textId="77777777" w:rsidR="00F82D81" w:rsidRDefault="000D7512" w:rsidP="000D7512">
      <w:pPr>
        <w:pStyle w:val="BodyText"/>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2367B661" w14:textId="77777777" w:rsidR="00F82D81" w:rsidRDefault="00B15E45" w:rsidP="000D7512">
      <w:pPr>
        <w:spacing w:line="360" w:lineRule="auto"/>
      </w:pPr>
      <w:r>
        <w:pict w14:anchorId="27C41EFD">
          <v:rect id="_x0000_i1029" style="width:0;height:1.5pt" o:hralign="center" o:hrstd="t" o:hr="t"/>
        </w:pict>
      </w:r>
    </w:p>
    <w:p w14:paraId="5CCC655A" w14:textId="77777777" w:rsidR="00F82D81" w:rsidRDefault="000D7512" w:rsidP="000D7512">
      <w:pPr>
        <w:pStyle w:val="Heading1"/>
        <w:spacing w:line="360" w:lineRule="auto"/>
      </w:pPr>
      <w:bookmarkStart w:id="28" w:name="results-1"/>
      <w:bookmarkEnd w:id="23"/>
      <w:r>
        <w:t>Results</w:t>
      </w:r>
    </w:p>
    <w:p w14:paraId="28591DCA" w14:textId="77777777" w:rsidR="00F82D81" w:rsidRDefault="000D7512" w:rsidP="000D7512">
      <w:pPr>
        <w:pStyle w:val="Heading2"/>
        <w:spacing w:line="360" w:lineRule="auto"/>
      </w:pPr>
      <w:bookmarkStart w:id="29" w:name="descriptive-statistics"/>
      <w:r>
        <w:t>1. Descriptive Statistics</w:t>
      </w:r>
    </w:p>
    <w:p w14:paraId="7DD89E07" w14:textId="77777777" w:rsidR="00F82D81" w:rsidRDefault="000D7512" w:rsidP="000D7512">
      <w:pPr>
        <w:pStyle w:val="FirstParagraph"/>
        <w:spacing w:line="360" w:lineRule="auto"/>
      </w:pPr>
      <w:r>
        <w:t>Across the 47 Japanese prefectures, mean elderly solo household rate was 12.6 ± 1.9% (range 9.4–17.8%; Table 1). Mean large-volume infusion therapy utilization was 8,022 ± 2,389 per 100,000 population (range 4,231–13,234). Mean prefectural ageing rate was 31.6 ± 3.3% (range 22.8–39.0%).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 Mean air conditioning prevalence was 89.7 ± 13.6% (range 26.6–98.2%).</w:t>
      </w:r>
    </w:p>
    <w:p w14:paraId="7A3375F7" w14:textId="77777777" w:rsidR="00F82D81" w:rsidRDefault="000D7512" w:rsidP="000D7512">
      <w:pPr>
        <w:pStyle w:val="Heading2"/>
        <w:spacing w:line="360" w:lineRule="auto"/>
      </w:pPr>
      <w:bookmarkStart w:id="34" w:name="univariate-regression-analysis"/>
      <w:bookmarkEnd w:id="29"/>
      <w:r>
        <w:t>2. Association Between Elderly Solo Household Rate and Infusion Therapy Utilization: Unadjusted and Adjusted Models</w:t>
      </w:r>
    </w:p>
    <w:p w14:paraId="234175A6" w14:textId="77777777" w:rsidR="00F82D81" w:rsidRDefault="000D7512" w:rsidP="000D7512">
      <w:pPr>
        <w:pStyle w:val="FirstParagraph"/>
        <w:spacing w:line="360" w:lineRule="auto"/>
      </w:pP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p>
    <w:p w14:paraId="214B30F5" w14:textId="77777777" w:rsidR="00F82D81" w:rsidRDefault="000D7512" w:rsidP="000D7512">
      <w:pPr>
        <w:pStyle w:val="Heading2"/>
        <w:spacing w:line="360" w:lineRule="auto"/>
      </w:pPr>
      <w:bookmarkStart w:id="35" w:name="sensitivity-analysis-outlier-exclusion"/>
      <w:bookmarkEnd w:id="34"/>
      <w:r>
        <w:t>3. Influence Diagnostics and Sensitivity Analyses</w:t>
      </w:r>
    </w:p>
    <w:p w14:paraId="5CA1DDB3" w14:textId="77777777" w:rsidR="00F82D81" w:rsidRDefault="000D7512" w:rsidP="000D7512">
      <w:pPr>
        <w:pStyle w:val="FirstParagraph"/>
        <w:spacing w:line="360" w:lineRule="auto"/>
      </w:pP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Leave-one-prefecture-out re-estimation of the fully adjusted model (47 iterations) produced coefficients ranging from −107.9 to 92.8, with the 95% CI crossing zero in every iteration, indicating that the attenuated result was not driven by any single prefecture, including Hokkaido. Excluding Tokyo, Osaka, and Kanagawa jointly did not materially change the result (β = −42.0; 95% CI, −645.6–561.6; p = 0.891).</w:t>
      </w:r>
    </w:p>
    <w:p w14:paraId="48C30CCB" w14:textId="77777777" w:rsidR="00F82D81" w:rsidRDefault="000D7512" w:rsidP="000D7512">
      <w:pPr>
        <w:pStyle w:val="Heading2"/>
        <w:spacing w:line="360" w:lineRule="auto"/>
      </w:pPr>
      <w:bookmarkStart w:id="36" w:name="sensitivity-analysis-tokyo-exclusion"/>
      <w:bookmarkEnd w:id="35"/>
      <w:r>
        <w:t>4. Nonlinearity</w:t>
      </w:r>
    </w:p>
    <w:p w14:paraId="7DCEAFBE" w14:textId="77777777" w:rsidR="00F82D81" w:rsidRDefault="000D7512" w:rsidP="000D7512">
      <w:pPr>
        <w:pStyle w:val="FirstParagraph"/>
        <w:spacing w:line="360" w:lineRule="auto"/>
      </w:pPr>
      <w:r>
        <w:t>A quadratic term for elderly solo household rate 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p>
    <w:p w14:paraId="7D3910B8" w14:textId="77777777" w:rsidR="00F82D81" w:rsidRDefault="000D7512" w:rsidP="000D7512">
      <w:pPr>
        <w:pStyle w:val="Heading2"/>
        <w:spacing w:line="360" w:lineRule="auto"/>
      </w:pPr>
      <w:bookmarkStart w:id="37" w:name="X793686c0d3b106673603c46d8fde6afefd20ab7"/>
      <w:bookmarkEnd w:id="36"/>
      <w:r>
        <w:t>5. Alternative Exposure (Denominator) Analysis</w:t>
      </w:r>
    </w:p>
    <w:p w14:paraId="11435710" w14:textId="77777777" w:rsidR="00F82D81" w:rsidRDefault="000D7512" w:rsidP="000D7512">
      <w:pPr>
        <w:pStyle w:val="FirstParagraph"/>
        <w:spacing w:line="360" w:lineRule="auto"/>
      </w:pP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 β = 0.0003; 95% CI, −0.327–0.328; p = 0.998) or in the analogous fully adjusted model (standardized β = −0.034; 95% CI, −0.298–0.231; p = 0.803), and this pattern was unchanged across the sensitivity analyses described above (Online Resource 1).</w:t>
      </w:r>
    </w:p>
    <w:p w14:paraId="5F6FA9CC" w14:textId="77777777" w:rsidR="00F82D81" w:rsidRDefault="000D7512" w:rsidP="000D7512">
      <w:pPr>
        <w:pStyle w:val="Heading2"/>
        <w:spacing w:line="360" w:lineRule="auto"/>
      </w:pPr>
      <w:bookmarkStart w:id="38" w:name="Xec550dadc753a887aafbab980c0dc6993a761a7"/>
      <w:bookmarkEnd w:id="37"/>
      <w:r>
        <w:t>6. Comparison with FDMA Heatstroke Ambulance Transport</w:t>
      </w:r>
    </w:p>
    <w:p w14:paraId="59D1DEA9" w14:textId="77777777" w:rsidR="00F82D81" w:rsidRDefault="000D7512" w:rsidP="000D7512">
      <w:pPr>
        <w:pStyle w:val="FirstParagraph"/>
        <w:spacing w:line="360" w:lineRule="auto"/>
      </w:pPr>
      <w:r>
        <w:t>As a construct validity check, infusion therapy utilization was examined in relation to the summer 2023 heatstroke ambulance transport rate from FDMA (Fire and Disaster Management Agency 2023). A positive association was observed (β = 70.19; 95% CI, 36.85–103.53; r = 0.534; p &lt; 0.001; Online Resource 1), which provides limited support for the presence of a heat-related component in the infusion therapy outcome, rather than validating it as a direct measure of heat-related dehydration.</w:t>
      </w:r>
    </w:p>
    <w:p w14:paraId="6357D448" w14:textId="77777777" w:rsidR="00F82D81" w:rsidRDefault="000D7512" w:rsidP="000D7512">
      <w:pPr>
        <w:pStyle w:val="Heading2"/>
        <w:spacing w:line="360" w:lineRule="auto"/>
      </w:pPr>
      <w:bookmarkStart w:id="39" w:name="Xcfa361b8a851fc133a6f28d5722fa5ebb7ae8cf"/>
      <w:bookmarkEnd w:id="38"/>
      <w:r>
        <w:t>7. Comparison-Outcome Analysis</w:t>
      </w:r>
    </w:p>
    <w:p w14:paraId="3B77B4A9" w14:textId="77777777" w:rsidR="00F82D81" w:rsidRDefault="000D7512" w:rsidP="000D7512">
      <w:pPr>
        <w:pStyle w:val="FirstParagraph"/>
        <w:spacing w:line="360" w:lineRule="auto"/>
      </w:pPr>
      <w:r>
        <w:t>A comparison with general outpatient utilization (R5 Patient Survey), using standardized coefficients (Online Resource 1), showed that the standardized association with general outpatient utilization (β = 0.424; 95% CI, 0.088–0.760; p = 0.013) was only modestly smaller than the standardized association with infusion therapy utilization (β = 0.521; 95% CI, 0.260–0.783; p &lt; 0.001) and did not support outcome specificity for infusion therapy.</w:t>
      </w:r>
    </w:p>
    <w:p w14:paraId="7A5A7D73" w14:textId="77777777" w:rsidR="00F82D81" w:rsidRDefault="00B15E45" w:rsidP="000D7512">
      <w:pPr>
        <w:spacing w:line="360" w:lineRule="auto"/>
      </w:pPr>
      <w:r>
        <w:pict w14:anchorId="29E589FB">
          <v:rect id="_x0000_i1030" style="width:0;height:1.5pt" o:hralign="center" o:hrstd="t" o:hr="t"/>
        </w:pict>
      </w:r>
    </w:p>
    <w:p w14:paraId="7C8B9E9B" w14:textId="77777777" w:rsidR="00F82D81" w:rsidRDefault="000D7512" w:rsidP="000D7512">
      <w:pPr>
        <w:pStyle w:val="Heading1"/>
        <w:spacing w:line="360" w:lineRule="auto"/>
      </w:pPr>
      <w:bookmarkStart w:id="40" w:name="discussion"/>
      <w:bookmarkEnd w:id="28"/>
      <w:bookmarkEnd w:id="39"/>
      <w:r>
        <w:lastRenderedPageBreak/>
        <w:t>Discussion</w:t>
      </w:r>
    </w:p>
    <w:p w14:paraId="1350AE00" w14:textId="30892903" w:rsidR="00F82D81" w:rsidRDefault="000D7512" w:rsidP="000D7512">
      <w:pPr>
        <w:pStyle w:val="FirstParagraph"/>
        <w:spacing w:line="360" w:lineRule="auto"/>
      </w:pP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indicate that population age structure substantially explains the ecological association between elderly solo household rate and infusion therapy utilization.</w:t>
      </w:r>
    </w:p>
    <w:p w14:paraId="192FFC10" w14:textId="77777777" w:rsidR="00F82D81" w:rsidRDefault="000D7512" w:rsidP="000D7512">
      <w:pPr>
        <w:pStyle w:val="BodyText"/>
        <w:spacing w:line="360" w:lineRule="auto"/>
      </w:pPr>
      <w:r>
        <w:t>Physiological vulnerability to heat among older adults, including reduced thermoregulation and blunted thirst perception, remains biologically plausible and is well documented (Kenney and Munce 2003; Bouchama and Knochel 2002; Bach et al. 2024; Blatteis 2012). The present ecological results indicate that population age structure, rather than living alone itself, is the principal driver of the observed prefecture-level association with infusion therapy utilization.</w:t>
      </w:r>
    </w:p>
    <w:p w14:paraId="60E59EEB" w14:textId="77777777" w:rsidR="00F82D81" w:rsidRDefault="000D7512" w:rsidP="000D7512">
      <w:pPr>
        <w:pStyle w:val="BodyText"/>
        <w:spacing w:line="360" w:lineRule="auto"/>
      </w:pPr>
      <w:r>
        <w:t>Regional infusion use may also reflect healthcare supply and local treatment practice in addition to underlying morbidity: the estimate was further attenuated after adjusting for general 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p>
    <w:p w14:paraId="640E848C" w14:textId="77777777" w:rsidR="00F82D81" w:rsidRDefault="000D7512" w:rsidP="000D7512">
      <w:pPr>
        <w:pStyle w:val="BodyText"/>
        <w:spacing w:line="360" w:lineRule="auto"/>
      </w:pPr>
      <w:r>
        <w:t>Our findings do not contradict international evidence that social isolation is associated with heat-related mortality at the individual and small-area level, including during the 1995 Chicago and 2003 European heat waves (Vandentorren et al. 2006; Canouï-Poitrine et al. 2006; Semenza et al. 1996; Conti et al. 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p>
    <w:p w14:paraId="1BFFCD46" w14:textId="77777777" w:rsidR="00F82D81" w:rsidRDefault="000D7512" w:rsidP="000D7512">
      <w:pPr>
        <w:pStyle w:val="BodyText"/>
        <w:spacing w:line="360" w:lineRule="auto"/>
      </w:pPr>
      <w:r>
        <w:t>That population age structure explains most of the ecological association for elderly solo household rate should not be interpreted as evidence that heat exposure is unimportant. Alternative WBGT metrics did not materially alter the interpretation; detailed exploratory results are reported in Online Resource 1. Prefecture-level climatic averages may also miss neighborhood and indoor exposures, and regional heat adaptation may attenuate simple ecological climate-health associations (Hondula et al. 2017; Harlan et al. 2013; Oka et al. 2023).</w:t>
      </w:r>
    </w:p>
    <w:p w14:paraId="3F72A4D0" w14:textId="77777777" w:rsidR="00F82D81" w:rsidRDefault="000D7512" w:rsidP="000D7512">
      <w:pPr>
        <w:pStyle w:val="BodyText"/>
        <w:spacing w:line="360" w:lineRule="auto"/>
      </w:pPr>
      <w:r>
        <w:t>These findings indicate that prefecture-level social-vulnerability indicators such as elderly solo household rate substantially reflect population age structure, and require careful demographic validation, together with consideration of healthcare supply and improved heat-exposure measures, before being proposed for heat-health surveillance.</w:t>
      </w:r>
    </w:p>
    <w:p w14:paraId="2C2983C0" w14:textId="77777777" w:rsidR="00F82D81" w:rsidRDefault="000D7512" w:rsidP="000D7512">
      <w:pPr>
        <w:pStyle w:val="BodyText"/>
        <w:spacing w:line="360" w:lineRule="auto"/>
      </w:pPr>
      <w:r>
        <w:t>Strengths include nationwide coverage of all 47 prefectures, use of NDB Open Data, official daily-maximum WBGT observations, and a comprehensive set of sensitivity, influence, and nonlinearity analyses.</w:t>
      </w:r>
    </w:p>
    <w:p w14:paraId="4FB01B77" w14:textId="77777777" w:rsidR="00F82D81" w:rsidRDefault="000D7512" w:rsidP="000D7512">
      <w:pPr>
        <w:pStyle w:val="BodyText"/>
        <w:spacing w:line="360" w:lineRule="auto"/>
      </w:pPr>
      <w:r>
        <w:t>Several limitations should be considered. First, this is an ecological design; associations at the prefecture level may not reflect individual-level relationships, and we cannot determine whether individuals living alone within a prefecture had higher infusion therapy utilization than those living with family. 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p>
    <w:p w14:paraId="321A7F58" w14:textId="77777777" w:rsidR="00F82D81" w:rsidRDefault="000D7512" w:rsidP="000D7512">
      <w:pPr>
        <w:pStyle w:val="BodyText"/>
        <w:spacing w:line="360" w:lineRule="auto"/>
      </w:pPr>
      <w:r>
        <w:t>Fourth, prefecture-by-age cross-tabulated G004 counts are not publicly available in the 10th NDB Open Data, precluding an age-specific or age-standardized outcome; we addressed this by adjusting for prefectural ageing rate directly. Fifth, the analysis covers a single fiscal year (2023), which was unusually hot at the time (Japan Meteorological Agency 2023); given that summers in Japan are projected to become progressively hotter, this single-year window may in fact be broadly representative of near-future conditions, although replication across multiple years remains necessary to confirm generalizability.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p>
    <w:p w14:paraId="3D942803" w14:textId="274D4C29" w:rsidR="00F82D81" w:rsidRDefault="000D7512" w:rsidP="000D7512">
      <w:pPr>
        <w:pStyle w:val="BodyText"/>
        <w:spacing w:line="360" w:lineRule="auto"/>
      </w:pP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p>
    <w:p w14:paraId="77CFDB25" w14:textId="77777777" w:rsidR="00F82D81" w:rsidRDefault="000D7512" w:rsidP="000D7512">
      <w:pPr>
        <w:pStyle w:val="BodyText"/>
        <w:spacing w:line="360" w:lineRule="auto"/>
      </w:pPr>
      <w:r>
        <w:t>Finally, air conditioning prevalence (2014 survey) reflects ownership, not actual use, and cannot establish whether cooling was applied; it is reported descriptively (Table 1) and was not included in the primary adjusted models. The present findings should be interpreted as evidence for cautious, demographically informed use of social-vulnerability indicators in heat-health surveillance, rather than as evidence against considering social factors altogether.</w:t>
      </w:r>
    </w:p>
    <w:p w14:paraId="7C171565" w14:textId="77777777" w:rsidR="00F82D81" w:rsidRDefault="000D7512" w:rsidP="000D7512">
      <w:pPr>
        <w:pStyle w:val="BodyText"/>
        <w:spacing w:line="360" w:lineRule="auto"/>
      </w:pPr>
      <w:r>
        <w:t>Given the ecological, cross-sectional, and single-year design, these findings should be considered hypothesis-generating. These considerations indicate that firmer conclusions about an independent heat-vulnerability effect of household living arrangement would require age-specific outcome data, multi-year designs, and finer-grained exposure measurement, in addition to the demographic caution highlighted above.</w:t>
      </w:r>
    </w:p>
    <w:p w14:paraId="1C9CC6BE" w14:textId="77777777" w:rsidR="00F82D81" w:rsidRDefault="00B15E45" w:rsidP="000D7512">
      <w:pPr>
        <w:spacing w:line="360" w:lineRule="auto"/>
      </w:pPr>
      <w:r>
        <w:pict w14:anchorId="65EB3341">
          <v:rect id="_x0000_i1031" style="width:0;height:1.5pt" o:hralign="center" o:hrstd="t" o:hr="t"/>
        </w:pict>
      </w:r>
    </w:p>
    <w:p w14:paraId="45813506" w14:textId="77777777" w:rsidR="00F82D81" w:rsidRDefault="000D7512" w:rsidP="000D7512">
      <w:pPr>
        <w:pStyle w:val="Heading1"/>
        <w:spacing w:line="360" w:lineRule="auto"/>
      </w:pPr>
      <w:bookmarkStart w:id="49" w:name="conclusions-1"/>
      <w:bookmarkEnd w:id="40"/>
      <w:r>
        <w:t>Conclusions</w:t>
      </w:r>
    </w:p>
    <w:p w14:paraId="08DC0465" w14:textId="77777777" w:rsidR="00F82D81" w:rsidRDefault="000D7512" w:rsidP="000D7512">
      <w:pPr>
        <w:pStyle w:val="FirstParagraph"/>
        <w:spacing w:line="360" w:lineRule="auto"/>
      </w:pPr>
      <w:r>
        <w:t>In this nationwide ecological study, elderly solo household rate was associated with large-volume infusion therapy utilization in unadjusted analysis; this association was substantially explained by prefectural ageing rate and was further attenuated toward zero after additional adjustment for healthcare supply and summer heat exposure.</w:t>
      </w:r>
    </w:p>
    <w:p w14:paraId="7BA148AA" w14:textId="77777777" w:rsidR="00F82D81" w:rsidRDefault="000D7512" w:rsidP="000D7512">
      <w:pPr>
        <w:pStyle w:val="BodyText"/>
        <w:spacing w:line="360" w:lineRule="auto"/>
      </w:pPr>
      <w:r>
        <w:t>These findings indicate that population age structure, together with healthcare supply and heat exposure, substantially explains the ecological association between elderly solo household rate and infusion therapy utilization. Given the ecological, cross-sectional, and single-year design, these findings should be regarded as hypothesis-generating; they highlight the importance of explicit adjustment for age structure and attention to denominator choice before routinely available social-vulnerability indicators are proposed for heat-health surveillance.</w:t>
      </w:r>
    </w:p>
    <w:p w14:paraId="756DA7E0" w14:textId="77777777" w:rsidR="00F82D81" w:rsidRDefault="000D7512" w:rsidP="000D7512">
      <w:pPr>
        <w:pStyle w:val="BodyText"/>
        <w:spacing w:line="360" w:lineRule="auto"/>
      </w:pPr>
      <w:r>
        <w:t>Future individual-level and longitudinal studies, and age-specific administrative data where available, are needed to clarify whether living alone carries an independent heat-vulnerability signal beyond population age structure, and to establish the role of healthcare supply and improved heat-exposure measures in explaining prefecture-level utilization patterns.</w:t>
      </w:r>
    </w:p>
    <w:p w14:paraId="0ACE41FA" w14:textId="77777777" w:rsidR="00F82D81" w:rsidRDefault="00B15E45" w:rsidP="000D7512">
      <w:pPr>
        <w:spacing w:line="360" w:lineRule="auto"/>
      </w:pPr>
      <w:r>
        <w:pict w14:anchorId="0B1A32FC">
          <v:rect id="_x0000_i1032" style="width:0;height:1.5pt" o:hralign="center" o:hrstd="t" o:hr="t"/>
        </w:pict>
      </w:r>
    </w:p>
    <w:p w14:paraId="25C5C234" w14:textId="77777777" w:rsidR="00F82D81" w:rsidRDefault="000D7512" w:rsidP="000D7512">
      <w:pPr>
        <w:pStyle w:val="Heading1"/>
        <w:spacing w:line="360" w:lineRule="auto"/>
      </w:pPr>
      <w:bookmarkStart w:id="50" w:name="acknowledgments"/>
      <w:bookmarkEnd w:id="49"/>
      <w:r>
        <w:t>Acknowledgments</w:t>
      </w:r>
    </w:p>
    <w:p w14:paraId="2EB80914"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654102FB" w14:textId="77777777" w:rsidR="00F82D81" w:rsidRDefault="00B15E45" w:rsidP="000D7512">
      <w:pPr>
        <w:spacing w:line="360" w:lineRule="auto"/>
      </w:pPr>
      <w:r>
        <w:pict w14:anchorId="0722B662">
          <v:rect id="_x0000_i1033" style="width:0;height:1.5pt" o:hralign="center" o:hrstd="t" o:hr="t"/>
        </w:pict>
      </w:r>
    </w:p>
    <w:p w14:paraId="0A1C324D" w14:textId="77777777" w:rsidR="00F82D81" w:rsidRDefault="000D7512" w:rsidP="000D7512">
      <w:pPr>
        <w:pStyle w:val="Heading1"/>
        <w:spacing w:line="360" w:lineRule="auto"/>
      </w:pPr>
      <w:bookmarkStart w:id="51" w:name="conflicts-of-interest"/>
      <w:bookmarkEnd w:id="50"/>
      <w:r>
        <w:t>Conflicts of Interest</w:t>
      </w:r>
    </w:p>
    <w:p w14:paraId="76C262A6" w14:textId="77777777" w:rsidR="00F82D81" w:rsidRDefault="000D7512" w:rsidP="000D7512">
      <w:pPr>
        <w:pStyle w:val="FirstParagraph"/>
        <w:spacing w:line="360" w:lineRule="auto"/>
      </w:pPr>
      <w:r>
        <w:t>The authors declare no conflicts of interest.</w:t>
      </w:r>
    </w:p>
    <w:p w14:paraId="1A4F80BB" w14:textId="77777777" w:rsidR="00F82D81" w:rsidRDefault="00B15E45" w:rsidP="000D7512">
      <w:pPr>
        <w:spacing w:line="360" w:lineRule="auto"/>
      </w:pPr>
      <w:r>
        <w:pict w14:anchorId="59BB6FFE">
          <v:rect id="_x0000_i1034" style="width:0;height:1.5pt" o:hralign="center" o:hrstd="t" o:hr="t"/>
        </w:pict>
      </w:r>
    </w:p>
    <w:p w14:paraId="770A3450" w14:textId="77777777" w:rsidR="00F82D81" w:rsidRDefault="000D7512" w:rsidP="000D7512">
      <w:pPr>
        <w:pStyle w:val="Heading1"/>
        <w:spacing w:line="360" w:lineRule="auto"/>
      </w:pPr>
      <w:bookmarkStart w:id="52" w:name="data-availability"/>
      <w:bookmarkEnd w:id="51"/>
      <w:r>
        <w:t>Data Availability</w:t>
      </w:r>
    </w:p>
    <w:p w14:paraId="5D85CB9C" w14:textId="77777777"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 derived data, and provenance records are openly available on GitHub (https://github.com/haruki00430/NDB-solo-household-infusion-therapy-japan) and archived on Zenodo (https://doi.org/10.5281/zenodo.20740374), which always resolves to the most recent version.</w:t>
      </w:r>
    </w:p>
    <w:p w14:paraId="70E104E6" w14:textId="77777777" w:rsidR="00F82D81" w:rsidRDefault="00B15E45" w:rsidP="000D7512">
      <w:pPr>
        <w:spacing w:line="360" w:lineRule="auto"/>
      </w:pPr>
      <w:r>
        <w:pict w14:anchorId="06C44B6D">
          <v:rect id="_x0000_i1035" style="width:0;height:1.5pt" o:hralign="center" o:hrstd="t" o:hr="t"/>
        </w:pict>
      </w:r>
    </w:p>
    <w:p w14:paraId="0385D49C" w14:textId="77777777" w:rsidR="00F82D81" w:rsidRDefault="000D7512" w:rsidP="000D7512">
      <w:pPr>
        <w:pStyle w:val="Heading1"/>
        <w:spacing w:line="360" w:lineRule="auto"/>
      </w:pPr>
      <w:bookmarkStart w:id="53" w:name="author-contributions"/>
      <w:bookmarkEnd w:id="52"/>
      <w:r>
        <w:t>Author Contributions</w:t>
      </w:r>
    </w:p>
    <w:p w14:paraId="403A0B43"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0DCED1B9" w14:textId="77777777" w:rsidR="00F82D81" w:rsidRDefault="000D7512" w:rsidP="000D7512">
      <w:pPr>
        <w:pStyle w:val="BodyText"/>
        <w:spacing w:line="360" w:lineRule="auto"/>
      </w:pPr>
      <w:r>
        <w:t>Tetsuya Ohira: Conceptualization, Supervision, Writing – review and editing.</w:t>
      </w:r>
    </w:p>
    <w:p w14:paraId="52506B84" w14:textId="77777777" w:rsidR="00F82D81" w:rsidRDefault="00B15E45" w:rsidP="000D7512">
      <w:pPr>
        <w:spacing w:line="360" w:lineRule="auto"/>
      </w:pPr>
      <w:r>
        <w:pict w14:anchorId="338E5A82">
          <v:rect id="_x0000_i1036" style="width:0;height:1.5pt" o:hralign="center" o:hrstd="t" o:hr="t"/>
        </w:pict>
      </w:r>
    </w:p>
    <w:p w14:paraId="72398177" w14:textId="77777777" w:rsidR="00F82D81" w:rsidRDefault="000D7512" w:rsidP="000D7512">
      <w:pPr>
        <w:pStyle w:val="Heading1"/>
        <w:spacing w:line="360" w:lineRule="auto"/>
      </w:pPr>
      <w:bookmarkStart w:id="54" w:name="funding"/>
      <w:bookmarkEnd w:id="53"/>
      <w:r>
        <w:t>Funding</w:t>
      </w:r>
    </w:p>
    <w:p w14:paraId="23289C42" w14:textId="77777777" w:rsidR="00F82D81" w:rsidRDefault="000D7512" w:rsidP="000D7512">
      <w:pPr>
        <w:pStyle w:val="FirstParagraph"/>
        <w:spacing w:line="360" w:lineRule="auto"/>
      </w:pPr>
      <w:r>
        <w:t>None declared.</w:t>
      </w:r>
    </w:p>
    <w:p w14:paraId="67FF4459" w14:textId="77777777" w:rsidR="00F82D81" w:rsidRDefault="00B15E45" w:rsidP="000D7512">
      <w:pPr>
        <w:spacing w:line="360" w:lineRule="auto"/>
      </w:pPr>
      <w:r>
        <w:pict w14:anchorId="7732F2C2">
          <v:rect id="_x0000_i1037" style="width:0;height:1.5pt" o:hralign="center" o:hrstd="t" o:hr="t"/>
        </w:pict>
      </w:r>
    </w:p>
    <w:p w14:paraId="46EE0943" w14:textId="77777777" w:rsidR="00F82D81" w:rsidRDefault="000D7512" w:rsidP="000D7512">
      <w:pPr>
        <w:pStyle w:val="Heading1"/>
        <w:spacing w:line="360" w:lineRule="auto"/>
      </w:pPr>
      <w:bookmarkStart w:id="55" w:name="X1f74eb43af444059c7518034463b6c89b1cacf4"/>
      <w:bookmarkEnd w:id="54"/>
      <w:r>
        <w:t>Declaration of Generative AI and AI-Assisted Technologies in the Manuscript Preparation Process</w:t>
      </w:r>
    </w:p>
    <w:p w14:paraId="34E61DA4" w14:textId="77777777" w:rsidR="00F82D81" w:rsidRDefault="000D7512" w:rsidP="000D7512">
      <w:pPr>
        <w:pStyle w:val="FirstParagraph"/>
        <w:spacing w:line="360" w:lineRule="auto"/>
      </w:pPr>
      <w:r>
        <w:t>During the preparation of the original submission,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GPT-5.5 (OpenAI), and Gemini 3 Pro (Google). During preparation of the revision, the authors used AI-assisted tools (Claude Sonnet 5, Anthropic, accessed via Claude Code) to 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 The authors reviewed and edited all outputs and take full responsibility for the final manuscript. AI was not listed as an author.</w:t>
      </w:r>
    </w:p>
    <w:p w14:paraId="7B0BEF4C" w14:textId="77777777" w:rsidR="00F82D81" w:rsidRDefault="00B15E45" w:rsidP="000D7512">
      <w:pPr>
        <w:spacing w:line="360" w:lineRule="auto"/>
      </w:pPr>
      <w:r>
        <w:pict w14:anchorId="7897EBE4">
          <v:rect id="_x0000_i1038" style="width:0;height:1.5pt" o:hralign="center" o:hrstd="t" o:hr="t"/>
        </w:pict>
      </w:r>
    </w:p>
    <w:p w14:paraId="13E824D5" w14:textId="77777777" w:rsidR="00F82D81" w:rsidRDefault="000D7512" w:rsidP="000D7512">
      <w:pPr>
        <w:pStyle w:val="Heading1"/>
        <w:spacing w:line="360" w:lineRule="auto"/>
      </w:pPr>
      <w:bookmarkStart w:id="56" w:name="references"/>
      <w:bookmarkEnd w:id="55"/>
      <w:r>
        <w:t>References</w:t>
      </w:r>
      <w:r w:rsidR="00F11FC6">
        <w:rPr>
          <w:rStyle w:val="CommentReference"/>
          <w:sz w:val="40"/>
          <w:szCs w:val="40"/>
        </w:rPr>
      </w:r>
    </w:p>
    <w:p w14:paraId="4BD9BA59"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8B406E3" w14:textId="77777777" w:rsidR="00DC42D8" w:rsidRDefault="000D7512" w:rsidP="000D7512">
      <w:pPr>
        <w:spacing w:line="360" w:lineRule="auto"/>
      </w:pPr>
      <w:r>
        <w:t>Blatteis CM (2012) Age-dependent changes in temperature regulation - a mini review. Gerontology 58:289-295. https://doi.org/10.1159/000333148</w:t>
      </w:r>
    </w:p>
    <w:p w14:paraId="5D79263A"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0BBC7144" w14:textId="77777777" w:rsidR="00DC42D8" w:rsidRPr="00DA2D53" w:rsidRDefault="000D7512" w:rsidP="000D7512">
      <w:pPr>
        <w:spacing w:line="360" w:lineRule="auto"/>
        <w:rPr>
          <w:lang w:val="nb-NO"/>
        </w:rPr>
      </w:pPr>
      <w:r>
        <w:t>Bouchama A, Knochel JP (2002) Heat stroke. N Engl J Med 346:1978-1988. https://doi.org/10.1056/NEJMra011089</w:t>
      </w:r>
    </w:p>
    <w:p w14:paraId="5751EA49" w14:textId="77777777" w:rsidR="00DC42D8" w:rsidRDefault="000D7512" w:rsidP="000D7512">
      <w:pPr>
        <w:spacing w:line="360" w:lineRule="auto"/>
      </w:pPr>
      <w:r>
        <w:lastRenderedPageBreak/>
        <w:t>Canouï-Poitrine F, Cadot E, Spira A, Groupe Régional Canicule (2006) Excess deaths during the August 2003 heat wave in Paris, France. Rev Epidemiol Sante Publique 54:127-135. https://doi.org/10.1016/S0398-7620(06)76706-2</w:t>
      </w:r>
    </w:p>
    <w:p w14:paraId="7C95CF47" w14:textId="77777777" w:rsidR="00DC42D8" w:rsidRDefault="000D7512" w:rsidP="000D7512">
      <w:pPr>
        <w:spacing w:line="360" w:lineRule="auto"/>
      </w:pPr>
      <w:r>
        <w:t>Conti S, Meli P, Minelli G, et al (2005) Epidemiologic study of mortality during the Summer 2003 heat wave in Italy. Environ Res 98:390-399. https://doi.org/10.1016/j.envres.2004.10.009</w:t>
      </w:r>
    </w:p>
    <w:p w14:paraId="1A3DD20D" w14:textId="77777777" w:rsidR="00DC42D8" w:rsidRDefault="000D7512" w:rsidP="000D7512">
      <w:pPr>
        <w:spacing w:line="360" w:lineRule="auto"/>
      </w:pPr>
      <w:r>
        <w:t>Farbotko C, Waitt G (2011) Residential air-conditioning and climate change: voices of the vulnerable. Health Promot J Austr 22:13-15. https://doi.org/10.1071/HE11413</w:t>
      </w:r>
    </w:p>
    <w:p w14:paraId="50B00EEB"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0D39312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66206316" w14:textId="7777777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https://doi.org/10.1289/ehp.1104625</w:t>
      </w:r>
    </w:p>
    <w:p w14:paraId="038637B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4F14DA9F" w14:textId="77777777" w:rsidR="00DC42D8" w:rsidRDefault="000D7512" w:rsidP="000D7512">
      <w:pPr>
        <w:spacing w:line="360" w:lineRule="auto"/>
      </w:pPr>
      <w:r>
        <w:t xml:space="preserve">Intergovernmental Panel on Climate Change (IPCC) (2021) Climate Change 2021: The Physical Science Basis. Contribution of Working Group I to the Sixth Assessment </w:t>
      </w:r>
      <w:r>
        <w:lastRenderedPageBreak/>
        <w:t>Report. Cambridge University Press, Cambridge. https://www.ipcc.ch/report/ar6/wg1/</w:t>
      </w:r>
    </w:p>
    <w:p w14:paraId="4F14DA9F" w14:textId="77777777" w:rsidR="00DC42D8" w:rsidRDefault="000D7512" w:rsidP="000D7512">
      <w:pPr>
        <w:spacing w:line="360" w:lineRule="auto"/>
      </w:pP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p>
    <w:p w14:paraId="6E13EFDC"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3F199123"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2E1C57A" w14:textId="77777777" w:rsidR="00DC42D8" w:rsidRDefault="000D7512" w:rsidP="000D7512">
      <w:pPr>
        <w:spacing w:line="360" w:lineRule="auto"/>
      </w:pPr>
      <w:r>
        <w:t>Ministry of Internal Affairs and Communications (MIC) (2015) National Survey of Family Income and Expenditure 2014. Tokyo: MIC.</w:t>
      </w:r>
    </w:p>
    <w:p w14:paraId="3A61CA63"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549E1579" w14:textId="77777777"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https://doi.org/10.1007/s12199-011-0221-2</w:t>
      </w:r>
    </w:p>
    <w:p w14:paraId="4FAAB72C" w14:textId="77777777" w:rsidR="00DC42D8" w:rsidRDefault="000D7512" w:rsidP="000D7512">
      <w:pPr>
        <w:spacing w:line="360" w:lineRule="auto"/>
      </w:pPr>
      <w:r>
        <w:t>Naughton MP, Henderson A, Mirabelli MC, et al (2002) Heat-related mortality during a 1999 heat wave in Chicago. Am J Prev Med 22:221-227. https://doi.org/10.1016/S0749-3797(02)00421-X</w:t>
      </w:r>
    </w:p>
    <w:p w14:paraId="6341E242" w14:textId="77777777" w:rsidR="00DC42D8" w:rsidRDefault="000D7512" w:rsidP="000D7512">
      <w:pPr>
        <w:spacing w:line="360" w:lineRule="auto"/>
      </w:pPr>
      <w:r>
        <w:lastRenderedPageBreak/>
        <w:t>Ng CF, Ueda K, Takeuchi A, et al (2014) Sociogeographic variation in the effects of heat and cold on daily mortality in Japan. J Epidemiol 24:15-24. https://doi.org/10.2188/jea.JE20130051</w:t>
      </w:r>
    </w:p>
    <w:p w14:paraId="7191DE8E"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413F2F6"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C5C8722" w14:textId="77777777" w:rsidR="00DC42D8" w:rsidRDefault="000D7512" w:rsidP="000D7512">
      <w:pPr>
        <w:spacing w:line="360" w:lineRule="auto"/>
      </w:pPr>
      <w:r>
        <w:t>Parsons K (2006) Heat stress standard ISO 7243 and its global application. Ind Health 44:368-379. https://doi.org/10.2486/indhealth.44.368</w:t>
      </w:r>
    </w:p>
    <w:p w14:paraId="50DFC312"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34B798F"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2DA0A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p w14:paraId="0179B098" w14:textId="77777777" w:rsidR="00F82D81" w:rsidRDefault="000D7512" w:rsidP="000D7512">
      <w:pPr>
        <w:pStyle w:val="Heading1"/>
        <w:spacing w:line="360" w:lineRule="auto"/>
      </w:pPr>
      <w:bookmarkStart w:id="59" w:name="tables-and-figures"/>
      <w:bookmarkEnd w:id="56"/>
      <w:r>
        <w:t>Tables and Figures</w:t>
      </w:r>
    </w:p>
    <w:p w14:paraId="34785CFC" w14:textId="77777777" w:rsidR="00F82D81" w:rsidRDefault="000D7512" w:rsidP="000D7512">
      <w:pPr>
        <w:pStyle w:val="Heading2"/>
        <w:spacing w:line="360" w:lineRule="auto"/>
      </w:pPr>
      <w:bookmarkStart w:id="60" w:name="Xd12e5d2fabb7f7da04933f49b094ec2cca003f6"/>
      <w:r>
        <w:t xml:space="preserve">Table </w:t>
      </w:r>
      <w:r w:rsidR="006824BB">
        <w:rPr>
          <w:rStyle w:val="CommentReference"/>
          <w:sz w:val="32"/>
          <w:szCs w:val="32"/>
        </w:rPr>
      </w:r>
      <w:r>
        <w:t>1. Descriptive Statistics of Prefecture-Level Variables (N = 47)</w:t>
      </w:r>
    </w:p>
    <w:tbl>
      <w:tblPr>
        <w:tblStyle w:val="Table"/>
        <w:tblW w:w="5000" w:type="pct"/>
        <w:tblLayout w:type="fixed"/>
        <w:tblLook w:val="0020" w:firstRow="1" w:lastRow="0" w:firstColumn="0" w:lastColumn="0" w:noHBand="0" w:noVBand="0"/>
        <w:tblLayout w:type="fixed"/>
      </w:tblPr>
      <w:tblGrid>
        <w:gridCol w:w="2808"/>
        <w:gridCol w:w="1080"/>
        <w:gridCol w:w="461"/>
        <w:gridCol w:w="835"/>
        <w:gridCol w:w="792"/>
        <w:gridCol w:w="792"/>
        <w:gridCol w:w="893"/>
        <w:gridCol w:w="936"/>
      </w:tblGrid>
      <w:tr w:rsidR="00F82D81" w14:paraId="25E0B69B"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2808" w:type="dxa"/>
          </w:tcPr>
          <w:p w14:paraId="0893F802" w14:textId="77777777" w:rsidR="00F82D81" w:rsidRDefault="000D7512" w:rsidP="000D7512">
            <w:pPr>
              <w:pStyle w:val="Compact"/>
              <w:spacing w:line="360" w:lineRule="auto"/>
            </w:pPr>
            <w:r>
              <w:rPr>
                <w:sz w:val="18"/>
              </w:rPr>
              <w:t>Variable</w:t>
            </w:r>
          </w:p>
        </w:tc>
        <w:tc>
          <w:tcPr>
            <w:tcW w:w="1080" w:type="dxa"/>
          </w:tcPr>
          <w:p w14:paraId="2F9E1625" w14:textId="77777777" w:rsidR="00F82D81" w:rsidRDefault="000D7512" w:rsidP="000D7512">
            <w:pPr>
              <w:pStyle w:val="Compact"/>
              <w:spacing w:line="360" w:lineRule="auto"/>
            </w:pPr>
            <w:r>
              <w:rPr>
                <w:sz w:val="18"/>
              </w:rPr>
              <w:t>Unit</w:t>
            </w:r>
          </w:p>
        </w:tc>
        <w:tc>
          <w:tcPr>
            <w:tcW w:w="461" w:type="dxa"/>
          </w:tcPr>
          <w:p w14:paraId="5EC4481E" w14:textId="77777777" w:rsidR="00F82D81" w:rsidRDefault="000D7512" w:rsidP="000D7512">
            <w:pPr>
              <w:pStyle w:val="Compact"/>
              <w:spacing w:line="360" w:lineRule="auto"/>
              <w:jc w:val="right"/>
            </w:pPr>
            <w:r>
              <w:rPr>
                <w:sz w:val="18"/>
              </w:rPr>
              <w:t>N</w:t>
            </w:r>
          </w:p>
        </w:tc>
        <w:tc>
          <w:tcPr>
            <w:tcW w:w="835" w:type="dxa"/>
          </w:tcPr>
          <w:p w14:paraId="2B0F91B6" w14:textId="77777777" w:rsidR="00F82D81" w:rsidRDefault="000D7512" w:rsidP="000D7512">
            <w:pPr>
              <w:pStyle w:val="Compact"/>
              <w:spacing w:line="360" w:lineRule="auto"/>
              <w:jc w:val="right"/>
            </w:pPr>
            <w:r>
              <w:rPr>
                <w:sz w:val="18"/>
              </w:rPr>
              <w:t>Mean</w:t>
            </w:r>
          </w:p>
        </w:tc>
        <w:tc>
          <w:tcPr>
            <w:tcW w:w="792" w:type="dxa"/>
          </w:tcPr>
          <w:p w14:paraId="0F55B701" w14:textId="77777777" w:rsidR="00F82D81" w:rsidRDefault="000D7512" w:rsidP="000D7512">
            <w:pPr>
              <w:pStyle w:val="Compact"/>
              <w:spacing w:line="360" w:lineRule="auto"/>
              <w:jc w:val="right"/>
            </w:pPr>
            <w:r>
              <w:rPr>
                <w:sz w:val="18"/>
              </w:rPr>
              <w:t>SD</w:t>
            </w:r>
          </w:p>
        </w:tc>
        <w:tc>
          <w:tcPr>
            <w:tcW w:w="792" w:type="dxa"/>
          </w:tcPr>
          <w:p w14:paraId="665A6A91" w14:textId="77777777" w:rsidR="00F82D81" w:rsidRDefault="000D7512" w:rsidP="000D7512">
            <w:pPr>
              <w:pStyle w:val="Compact"/>
              <w:spacing w:line="360" w:lineRule="auto"/>
              <w:jc w:val="right"/>
            </w:pPr>
            <w:r>
              <w:rPr>
                <w:sz w:val="18"/>
              </w:rPr>
              <w:t>Min</w:t>
            </w:r>
          </w:p>
        </w:tc>
        <w:tc>
          <w:tcPr>
            <w:tcW w:w="893" w:type="dxa"/>
          </w:tcPr>
          <w:p w14:paraId="35B72846" w14:textId="77777777" w:rsidR="00F82D81" w:rsidRDefault="000D7512" w:rsidP="000D7512">
            <w:pPr>
              <w:pStyle w:val="Compact"/>
              <w:spacing w:line="360" w:lineRule="auto"/>
              <w:jc w:val="right"/>
            </w:pPr>
            <w:r>
              <w:rPr>
                <w:sz w:val="18"/>
              </w:rPr>
              <w:t>Median</w:t>
            </w:r>
          </w:p>
        </w:tc>
        <w:tc>
          <w:tcPr>
            <w:tcW w:w="936" w:type="dxa"/>
          </w:tcPr>
          <w:p w14:paraId="4E90D8F9" w14:textId="77777777" w:rsidR="00F82D81" w:rsidRDefault="000D7512" w:rsidP="000D7512">
            <w:pPr>
              <w:pStyle w:val="Compact"/>
              <w:spacing w:line="360" w:lineRule="auto"/>
              <w:jc w:val="right"/>
            </w:pPr>
            <w:r>
              <w:rPr>
                <w:sz w:val="18"/>
              </w:rPr>
              <w:t>Max</w:t>
            </w:r>
          </w:p>
        </w:tc>
      </w:tr>
      <w:tr>
        <w:tc>
          <w:tcPr>
            <w:tcW w:type="dxa" w:w="2808"/>
          </w:tcPr>
          <w:p>
            <w:r>
              <w:rPr>
                <w:sz w:val="18"/>
              </w:rPr>
              <w:t>Outcome variable</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Large-volume infusion therapy utilization (G004, ≥500 mL)</w:t>
            </w:r>
          </w:p>
        </w:tc>
        <w:tc>
          <w:tcPr>
            <w:tcW w:type="dxa" w:w="1080"/>
          </w:tcPr>
          <w:p>
            <w:r>
              <w:rPr>
                <w:sz w:val="18"/>
              </w:rPr>
              <w:t>per 100,000</w:t>
            </w:r>
          </w:p>
        </w:tc>
        <w:tc>
          <w:tcPr>
            <w:tcW w:type="dxa" w:w="461"/>
          </w:tcPr>
          <w:p>
            <w:r>
              <w:rPr>
                <w:sz w:val="18"/>
              </w:rPr>
              <w:t>47</w:t>
            </w:r>
          </w:p>
        </w:tc>
        <w:tc>
          <w:tcPr>
            <w:tcW w:type="dxa" w:w="835"/>
          </w:tcPr>
          <w:p>
            <w:r>
              <w:rPr>
                <w:sz w:val="18"/>
              </w:rPr>
              <w:t>8,022.2</w:t>
            </w:r>
          </w:p>
        </w:tc>
        <w:tc>
          <w:tcPr>
            <w:tcW w:type="dxa" w:w="792"/>
          </w:tcPr>
          <w:p>
            <w:r>
              <w:rPr>
                <w:sz w:val="18"/>
              </w:rPr>
              <w:t>2,389.3</w:t>
            </w:r>
          </w:p>
        </w:tc>
        <w:tc>
          <w:tcPr>
            <w:tcW w:type="dxa" w:w="792"/>
          </w:tcPr>
          <w:p>
            <w:r>
              <w:rPr>
                <w:sz w:val="18"/>
              </w:rPr>
              <w:t>4,231.3</w:t>
            </w:r>
          </w:p>
        </w:tc>
        <w:tc>
          <w:tcPr>
            <w:tcW w:type="dxa" w:w="893"/>
          </w:tcPr>
          <w:p>
            <w:r>
              <w:rPr>
                <w:sz w:val="18"/>
              </w:rPr>
              <w:t>7,608.7</w:t>
            </w:r>
          </w:p>
        </w:tc>
        <w:tc>
          <w:tcPr>
            <w:tcW w:type="dxa" w:w="936"/>
          </w:tcPr>
          <w:p>
            <w:r>
              <w:rPr>
                <w:sz w:val="18"/>
              </w:rPr>
              <w:t>13,234.1</w:t>
            </w:r>
          </w:p>
        </w:tc>
      </w:tr>
      <w:tr>
        <w:tc>
          <w:tcPr>
            <w:tcW w:type="dxa" w:w="2808"/>
          </w:tcPr>
          <w:p>
            <w:r>
              <w:rPr>
                <w:sz w:val="18"/>
              </w:rPr>
              <w:t>Exposure variable</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Elderly solo household rate</w:t>
            </w:r>
          </w:p>
        </w:tc>
        <w:tc>
          <w:tcPr>
            <w:tcW w:type="dxa" w:w="1080"/>
          </w:tcPr>
          <w:p>
            <w:r>
              <w:rPr>
                <w:sz w:val="18"/>
              </w:rPr>
              <w:t>%</w:t>
            </w:r>
          </w:p>
        </w:tc>
        <w:tc>
          <w:tcPr>
            <w:tcW w:type="dxa" w:w="461"/>
          </w:tcPr>
          <w:p>
            <w:r>
              <w:rPr>
                <w:sz w:val="18"/>
              </w:rPr>
              <w:t>47</w:t>
            </w:r>
          </w:p>
        </w:tc>
        <w:tc>
          <w:tcPr>
            <w:tcW w:type="dxa" w:w="835"/>
          </w:tcPr>
          <w:p>
            <w:r>
              <w:rPr>
                <w:sz w:val="18"/>
              </w:rPr>
              <w:t>12.6</w:t>
            </w:r>
          </w:p>
        </w:tc>
        <w:tc>
          <w:tcPr>
            <w:tcW w:type="dxa" w:w="792"/>
          </w:tcPr>
          <w:p>
            <w:r>
              <w:rPr>
                <w:sz w:val="18"/>
              </w:rPr>
              <w:t>1.9</w:t>
            </w:r>
          </w:p>
        </w:tc>
        <w:tc>
          <w:tcPr>
            <w:tcW w:type="dxa" w:w="792"/>
          </w:tcPr>
          <w:p>
            <w:r>
              <w:rPr>
                <w:sz w:val="18"/>
              </w:rPr>
              <w:t>9.4</w:t>
            </w:r>
          </w:p>
        </w:tc>
        <w:tc>
          <w:tcPr>
            <w:tcW w:type="dxa" w:w="893"/>
          </w:tcPr>
          <w:p>
            <w:r>
              <w:rPr>
                <w:sz w:val="18"/>
              </w:rPr>
              <w:t>12.3</w:t>
            </w:r>
          </w:p>
        </w:tc>
        <w:tc>
          <w:tcPr>
            <w:tcW w:type="dxa" w:w="936"/>
          </w:tcPr>
          <w:p>
            <w:r>
              <w:rPr>
                <w:sz w:val="18"/>
              </w:rPr>
              <w:t>17.8</w:t>
            </w:r>
          </w:p>
        </w:tc>
      </w:tr>
      <w:tr>
        <w:tc>
          <w:tcPr>
            <w:tcW w:type="dxa" w:w="2808"/>
          </w:tcPr>
          <w:p>
            <w:r>
              <w:rPr>
                <w:sz w:val="18"/>
              </w:rPr>
              <w:t>Alternative exposure (sensitivity) variable</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 of population aged ≥65 living alone</w:t>
            </w:r>
          </w:p>
        </w:tc>
        <w:tc>
          <w:tcPr>
            <w:tcW w:type="dxa" w:w="1080"/>
          </w:tcPr>
          <w:p>
            <w:r>
              <w:rPr>
                <w:sz w:val="18"/>
              </w:rPr>
              <w:t>%</w:t>
            </w:r>
          </w:p>
        </w:tc>
        <w:tc>
          <w:tcPr>
            <w:tcW w:type="dxa" w:w="461"/>
          </w:tcPr>
          <w:p>
            <w:r>
              <w:rPr>
                <w:sz w:val="18"/>
              </w:rPr>
              <w:t>47</w:t>
            </w:r>
          </w:p>
        </w:tc>
        <w:tc>
          <w:tcPr>
            <w:tcW w:type="dxa" w:w="835"/>
          </w:tcPr>
          <w:p>
            <w:r>
              <w:rPr>
                <w:sz w:val="18"/>
              </w:rPr>
              <w:t>17.7</w:t>
            </w:r>
          </w:p>
        </w:tc>
        <w:tc>
          <w:tcPr>
            <w:tcW w:type="dxa" w:w="792"/>
          </w:tcPr>
          <w:p>
            <w:r>
              <w:rPr>
                <w:sz w:val="18"/>
              </w:rPr>
              <w:t>3.1</w:t>
            </w:r>
          </w:p>
        </w:tc>
        <w:tc>
          <w:tcPr>
            <w:tcW w:type="dxa" w:w="792"/>
          </w:tcPr>
          <w:p>
            <w:r>
              <w:rPr>
                <w:sz w:val="18"/>
              </w:rPr>
              <w:t>12.1</w:t>
            </w:r>
          </w:p>
        </w:tc>
        <w:tc>
          <w:tcPr>
            <w:tcW w:type="dxa" w:w="893"/>
          </w:tcPr>
          <w:p>
            <w:r>
              <w:rPr>
                <w:sz w:val="18"/>
              </w:rPr>
              <w:t>17.1</w:t>
            </w:r>
          </w:p>
        </w:tc>
        <w:tc>
          <w:tcPr>
            <w:tcW w:type="dxa" w:w="936"/>
          </w:tcPr>
          <w:p>
            <w:r>
              <w:rPr>
                <w:sz w:val="18"/>
              </w:rPr>
              <w:t>26.1</w:t>
            </w:r>
          </w:p>
        </w:tc>
      </w:tr>
      <w:tr>
        <w:tc>
          <w:tcPr>
            <w:tcW w:type="dxa" w:w="2808"/>
          </w:tcPr>
          <w:p>
            <w:r>
              <w:rPr>
                <w:sz w:val="18"/>
              </w:rPr>
              <w:t>Adjustment variables</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Prefectural ageing rate</w:t>
            </w:r>
          </w:p>
        </w:tc>
        <w:tc>
          <w:tcPr>
            <w:tcW w:type="dxa" w:w="1080"/>
          </w:tcPr>
          <w:p>
            <w:r>
              <w:rPr>
                <w:sz w:val="18"/>
              </w:rPr>
              <w:t>%</w:t>
            </w:r>
          </w:p>
        </w:tc>
        <w:tc>
          <w:tcPr>
            <w:tcW w:type="dxa" w:w="461"/>
          </w:tcPr>
          <w:p>
            <w:r>
              <w:rPr>
                <w:sz w:val="18"/>
              </w:rPr>
              <w:t>47</w:t>
            </w:r>
          </w:p>
        </w:tc>
        <w:tc>
          <w:tcPr>
            <w:tcW w:type="dxa" w:w="835"/>
          </w:tcPr>
          <w:p>
            <w:r>
              <w:rPr>
                <w:sz w:val="18"/>
              </w:rPr>
              <w:t>31.6</w:t>
            </w:r>
          </w:p>
        </w:tc>
        <w:tc>
          <w:tcPr>
            <w:tcW w:type="dxa" w:w="792"/>
          </w:tcPr>
          <w:p>
            <w:r>
              <w:rPr>
                <w:sz w:val="18"/>
              </w:rPr>
              <w:t>3.3</w:t>
            </w:r>
          </w:p>
        </w:tc>
        <w:tc>
          <w:tcPr>
            <w:tcW w:type="dxa" w:w="792"/>
          </w:tcPr>
          <w:p>
            <w:r>
              <w:rPr>
                <w:sz w:val="18"/>
              </w:rPr>
              <w:t>22.8</w:t>
            </w:r>
          </w:p>
        </w:tc>
        <w:tc>
          <w:tcPr>
            <w:tcW w:type="dxa" w:w="893"/>
          </w:tcPr>
          <w:p>
            <w:r>
              <w:rPr>
                <w:sz w:val="18"/>
              </w:rPr>
              <w:t>31.7</w:t>
            </w:r>
          </w:p>
        </w:tc>
        <w:tc>
          <w:tcPr>
            <w:tcW w:type="dxa" w:w="936"/>
          </w:tcPr>
          <w:p>
            <w:r>
              <w:rPr>
                <w:sz w:val="18"/>
              </w:rPr>
              <w:t>39.0</w:t>
            </w:r>
          </w:p>
        </w:tc>
      </w:tr>
      <w:tr>
        <w:tc>
          <w:tcPr>
            <w:tcW w:type="dxa" w:w="2808"/>
          </w:tcPr>
          <w:p>
            <w:r>
              <w:rPr>
                <w:sz w:val="18"/>
              </w:rPr>
              <w:t>General hospital beds</w:t>
            </w:r>
          </w:p>
        </w:tc>
        <w:tc>
          <w:tcPr>
            <w:tcW w:type="dxa" w:w="1080"/>
          </w:tcPr>
          <w:p>
            <w:r>
              <w:rPr>
                <w:sz w:val="18"/>
              </w:rPr>
              <w:t>per 100,000</w:t>
            </w:r>
          </w:p>
        </w:tc>
        <w:tc>
          <w:tcPr>
            <w:tcW w:type="dxa" w:w="461"/>
          </w:tcPr>
          <w:p>
            <w:r>
              <w:rPr>
                <w:sz w:val="18"/>
              </w:rPr>
              <w:t>47</w:t>
            </w:r>
          </w:p>
        </w:tc>
        <w:tc>
          <w:tcPr>
            <w:tcW w:type="dxa" w:w="835"/>
          </w:tcPr>
          <w:p>
            <w:r>
              <w:rPr>
                <w:sz w:val="18"/>
              </w:rPr>
              <w:t>794.2</w:t>
            </w:r>
          </w:p>
        </w:tc>
        <w:tc>
          <w:tcPr>
            <w:tcW w:type="dxa" w:w="792"/>
          </w:tcPr>
          <w:p>
            <w:r>
              <w:rPr>
                <w:sz w:val="18"/>
              </w:rPr>
              <w:t>148.5</w:t>
            </w:r>
          </w:p>
        </w:tc>
        <w:tc>
          <w:tcPr>
            <w:tcW w:type="dxa" w:w="792"/>
          </w:tcPr>
          <w:p>
            <w:r>
              <w:rPr>
                <w:sz w:val="18"/>
              </w:rPr>
              <w:t>508.7</w:t>
            </w:r>
          </w:p>
        </w:tc>
        <w:tc>
          <w:tcPr>
            <w:tcW w:type="dxa" w:w="893"/>
          </w:tcPr>
          <w:p>
            <w:r>
              <w:rPr>
                <w:sz w:val="18"/>
              </w:rPr>
              <w:t>800.3</w:t>
            </w:r>
          </w:p>
        </w:tc>
        <w:tc>
          <w:tcPr>
            <w:tcW w:type="dxa" w:w="936"/>
          </w:tcPr>
          <w:p>
            <w:r>
              <w:rPr>
                <w:sz w:val="18"/>
              </w:rPr>
              <w:t>1,146.5</w:t>
            </w:r>
          </w:p>
        </w:tc>
      </w:tr>
      <w:tr>
        <w:tc>
          <w:tcPr>
            <w:tcW w:type="dxa" w:w="2808"/>
          </w:tcPr>
          <w:p>
            <w:r>
              <w:rPr>
                <w:sz w:val="18"/>
              </w:rPr>
              <w:t>General clinics (sensitivity)</w:t>
            </w:r>
          </w:p>
        </w:tc>
        <w:tc>
          <w:tcPr>
            <w:tcW w:type="dxa" w:w="1080"/>
          </w:tcPr>
          <w:p>
            <w:r>
              <w:rPr>
                <w:sz w:val="18"/>
              </w:rPr>
              <w:t>per 100,000</w:t>
            </w:r>
          </w:p>
        </w:tc>
        <w:tc>
          <w:tcPr>
            <w:tcW w:type="dxa" w:w="461"/>
          </w:tcPr>
          <w:p>
            <w:r>
              <w:rPr>
                <w:sz w:val="18"/>
              </w:rPr>
              <w:t>47</w:t>
            </w:r>
          </w:p>
        </w:tc>
        <w:tc>
          <w:tcPr>
            <w:tcW w:type="dxa" w:w="835"/>
          </w:tcPr>
          <w:p>
            <w:r>
              <w:rPr>
                <w:sz w:val="18"/>
              </w:rPr>
              <w:t>84.5</w:t>
            </w:r>
          </w:p>
        </w:tc>
        <w:tc>
          <w:tcPr>
            <w:tcW w:type="dxa" w:w="792"/>
          </w:tcPr>
          <w:p>
            <w:r>
              <w:rPr>
                <w:sz w:val="18"/>
              </w:rPr>
              <w:t>11.9</w:t>
            </w:r>
          </w:p>
        </w:tc>
        <w:tc>
          <w:tcPr>
            <w:tcW w:type="dxa" w:w="792"/>
          </w:tcPr>
          <w:p>
            <w:r>
              <w:rPr>
                <w:sz w:val="18"/>
              </w:rPr>
              <w:t>61.8</w:t>
            </w:r>
          </w:p>
        </w:tc>
        <w:tc>
          <w:tcPr>
            <w:tcW w:type="dxa" w:w="893"/>
          </w:tcPr>
          <w:p>
            <w:r>
              <w:rPr>
                <w:sz w:val="18"/>
              </w:rPr>
              <w:t>85.9</w:t>
            </w:r>
          </w:p>
        </w:tc>
        <w:tc>
          <w:tcPr>
            <w:tcW w:type="dxa" w:w="936"/>
          </w:tcPr>
          <w:p>
            <w:r>
              <w:rPr>
                <w:sz w:val="18"/>
              </w:rPr>
              <w:t>113.0</w:t>
            </w:r>
          </w:p>
        </w:tc>
      </w:tr>
      <w:tr>
        <w:tc>
          <w:tcPr>
            <w:tcW w:type="dxa" w:w="2808"/>
          </w:tcPr>
          <w:p>
            <w:r>
              <w:rPr>
                <w:sz w:val="18"/>
              </w:rPr>
              <w:t>Climatic variables</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Days with WBGT ≥28°C (official, primary)</w:t>
            </w:r>
          </w:p>
        </w:tc>
        <w:tc>
          <w:tcPr>
            <w:tcW w:type="dxa" w:w="1080"/>
          </w:tcPr>
          <w:p>
            <w:r>
              <w:rPr>
                <w:sz w:val="18"/>
              </w:rPr>
              <w:t>days</w:t>
            </w:r>
          </w:p>
        </w:tc>
        <w:tc>
          <w:tcPr>
            <w:tcW w:type="dxa" w:w="461"/>
          </w:tcPr>
          <w:p>
            <w:r>
              <w:rPr>
                <w:sz w:val="18"/>
              </w:rPr>
              <w:t>47</w:t>
            </w:r>
          </w:p>
        </w:tc>
        <w:tc>
          <w:tcPr>
            <w:tcW w:type="dxa" w:w="835"/>
          </w:tcPr>
          <w:p>
            <w:r>
              <w:rPr>
                <w:sz w:val="18"/>
              </w:rPr>
              <w:t>72.9</w:t>
            </w:r>
          </w:p>
        </w:tc>
        <w:tc>
          <w:tcPr>
            <w:tcW w:type="dxa" w:w="792"/>
          </w:tcPr>
          <w:p>
            <w:r>
              <w:rPr>
                <w:sz w:val="18"/>
              </w:rPr>
              <w:t>14.1</w:t>
            </w:r>
          </w:p>
        </w:tc>
        <w:tc>
          <w:tcPr>
            <w:tcW w:type="dxa" w:w="792"/>
          </w:tcPr>
          <w:p>
            <w:r>
              <w:rPr>
                <w:sz w:val="18"/>
              </w:rPr>
              <w:t>27.3</w:t>
            </w:r>
          </w:p>
        </w:tc>
        <w:tc>
          <w:tcPr>
            <w:tcW w:type="dxa" w:w="893"/>
          </w:tcPr>
          <w:p>
            <w:r>
              <w:rPr>
                <w:sz w:val="18"/>
              </w:rPr>
              <w:t>74.7</w:t>
            </w:r>
          </w:p>
        </w:tc>
        <w:tc>
          <w:tcPr>
            <w:tcW w:type="dxa" w:w="936"/>
          </w:tcPr>
          <w:p>
            <w:r>
              <w:rPr>
                <w:sz w:val="18"/>
              </w:rPr>
              <w:t>112.3</w:t>
            </w:r>
          </w:p>
        </w:tc>
      </w:tr>
      <w:tr>
        <w:tc>
          <w:tcPr>
            <w:tcW w:type="dxa" w:w="2808"/>
          </w:tcPr>
          <w:p>
            <w:r>
              <w:rPr>
                <w:sz w:val="18"/>
              </w:rPr>
              <w:t>Days with WBGT ≥31°C (sensitivity)</w:t>
            </w:r>
          </w:p>
        </w:tc>
        <w:tc>
          <w:tcPr>
            <w:tcW w:type="dxa" w:w="1080"/>
          </w:tcPr>
          <w:p>
            <w:r>
              <w:rPr>
                <w:sz w:val="18"/>
              </w:rPr>
              <w:t>days</w:t>
            </w:r>
          </w:p>
        </w:tc>
        <w:tc>
          <w:tcPr>
            <w:tcW w:type="dxa" w:w="461"/>
          </w:tcPr>
          <w:p>
            <w:r>
              <w:rPr>
                <w:sz w:val="18"/>
              </w:rPr>
              <w:t>47</w:t>
            </w:r>
          </w:p>
        </w:tc>
        <w:tc>
          <w:tcPr>
            <w:tcW w:type="dxa" w:w="835"/>
          </w:tcPr>
          <w:p>
            <w:r>
              <w:rPr>
                <w:sz w:val="18"/>
              </w:rPr>
              <w:t>28.7</w:t>
            </w:r>
          </w:p>
        </w:tc>
        <w:tc>
          <w:tcPr>
            <w:tcW w:type="dxa" w:w="792"/>
          </w:tcPr>
          <w:p>
            <w:r>
              <w:rPr>
                <w:sz w:val="18"/>
              </w:rPr>
              <w:t>10.6</w:t>
            </w:r>
          </w:p>
        </w:tc>
        <w:tc>
          <w:tcPr>
            <w:tcW w:type="dxa" w:w="792"/>
          </w:tcPr>
          <w:p>
            <w:r>
              <w:rPr>
                <w:sz w:val="18"/>
              </w:rPr>
              <w:t>6.0</w:t>
            </w:r>
          </w:p>
        </w:tc>
        <w:tc>
          <w:tcPr>
            <w:tcW w:type="dxa" w:w="893"/>
          </w:tcPr>
          <w:p>
            <w:r>
              <w:rPr>
                <w:sz w:val="18"/>
              </w:rPr>
              <w:t>26.5</w:t>
            </w:r>
          </w:p>
        </w:tc>
        <w:tc>
          <w:tcPr>
            <w:tcW w:type="dxa" w:w="936"/>
          </w:tcPr>
          <w:p>
            <w:r>
              <w:rPr>
                <w:sz w:val="18"/>
              </w:rPr>
              <w:t>61.6</w:t>
            </w:r>
          </w:p>
        </w:tc>
      </w:tr>
      <w:tr>
        <w:tc>
          <w:tcPr>
            <w:tcW w:type="dxa" w:w="2808"/>
          </w:tcPr>
          <w:p>
            <w:r>
              <w:rPr>
                <w:sz w:val="18"/>
              </w:rPr>
              <w:t>Days with WBGT ≥33°C (sensitivity)</w:t>
            </w:r>
          </w:p>
        </w:tc>
        <w:tc>
          <w:tcPr>
            <w:tcW w:type="dxa" w:w="1080"/>
          </w:tcPr>
          <w:p>
            <w:r>
              <w:rPr>
                <w:sz w:val="18"/>
              </w:rPr>
              <w:t>days</w:t>
            </w:r>
          </w:p>
        </w:tc>
        <w:tc>
          <w:tcPr>
            <w:tcW w:type="dxa" w:w="461"/>
          </w:tcPr>
          <w:p>
            <w:r>
              <w:rPr>
                <w:sz w:val="18"/>
              </w:rPr>
              <w:t>47</w:t>
            </w:r>
          </w:p>
        </w:tc>
        <w:tc>
          <w:tcPr>
            <w:tcW w:type="dxa" w:w="835"/>
          </w:tcPr>
          <w:p>
            <w:r>
              <w:rPr>
                <w:sz w:val="18"/>
              </w:rPr>
              <w:t>2.9</w:t>
            </w:r>
          </w:p>
        </w:tc>
        <w:tc>
          <w:tcPr>
            <w:tcW w:type="dxa" w:w="792"/>
          </w:tcPr>
          <w:p>
            <w:r>
              <w:rPr>
                <w:sz w:val="18"/>
              </w:rPr>
              <w:t>2.7</w:t>
            </w:r>
          </w:p>
        </w:tc>
        <w:tc>
          <w:tcPr>
            <w:tcW w:type="dxa" w:w="792"/>
          </w:tcPr>
          <w:p>
            <w:r>
              <w:rPr>
                <w:sz w:val="18"/>
              </w:rPr>
              <w:t>0.0</w:t>
            </w:r>
          </w:p>
        </w:tc>
        <w:tc>
          <w:tcPr>
            <w:tcW w:type="dxa" w:w="893"/>
          </w:tcPr>
          <w:p>
            <w:r>
              <w:rPr>
                <w:sz w:val="18"/>
              </w:rPr>
              <w:t>1.7</w:t>
            </w:r>
          </w:p>
        </w:tc>
        <w:tc>
          <w:tcPr>
            <w:tcW w:type="dxa" w:w="936"/>
          </w:tcPr>
          <w:p>
            <w:r>
              <w:rPr>
                <w:sz w:val="18"/>
              </w:rPr>
              <w:t>10.8</w:t>
            </w:r>
          </w:p>
        </w:tc>
      </w:tr>
      <w:tr>
        <w:tc>
          <w:tcPr>
            <w:tcW w:type="dxa" w:w="2808"/>
          </w:tcPr>
          <w:p>
            <w:r>
              <w:rPr>
                <w:sz w:val="18"/>
              </w:rPr>
              <w:t>Days with maximum temperature ≥35°C (descriptive only)</w:t>
            </w:r>
          </w:p>
        </w:tc>
        <w:tc>
          <w:tcPr>
            <w:tcW w:type="dxa" w:w="1080"/>
          </w:tcPr>
          <w:p>
            <w:r>
              <w:rPr>
                <w:sz w:val="18"/>
              </w:rPr>
              <w:t>days</w:t>
            </w:r>
          </w:p>
        </w:tc>
        <w:tc>
          <w:tcPr>
            <w:tcW w:type="dxa" w:w="461"/>
          </w:tcPr>
          <w:p>
            <w:r>
              <w:rPr>
                <w:sz w:val="18"/>
              </w:rPr>
              <w:t>47</w:t>
            </w:r>
          </w:p>
        </w:tc>
        <w:tc>
          <w:tcPr>
            <w:tcW w:type="dxa" w:w="835"/>
          </w:tcPr>
          <w:p>
            <w:r>
              <w:rPr>
                <w:sz w:val="18"/>
              </w:rPr>
              <w:t>17.9</w:t>
            </w:r>
          </w:p>
        </w:tc>
        <w:tc>
          <w:tcPr>
            <w:tcW w:type="dxa" w:w="792"/>
          </w:tcPr>
          <w:p>
            <w:r>
              <w:rPr>
                <w:sz w:val="18"/>
              </w:rPr>
              <w:t>12.1</w:t>
            </w:r>
          </w:p>
        </w:tc>
        <w:tc>
          <w:tcPr>
            <w:tcW w:type="dxa" w:w="792"/>
          </w:tcPr>
          <w:p>
            <w:r>
              <w:rPr>
                <w:sz w:val="18"/>
              </w:rPr>
              <w:t>0.0</w:t>
            </w:r>
          </w:p>
        </w:tc>
        <w:tc>
          <w:tcPr>
            <w:tcW w:type="dxa" w:w="893"/>
          </w:tcPr>
          <w:p>
            <w:r>
              <w:rPr>
                <w:sz w:val="18"/>
              </w:rPr>
              <w:t>17.0</w:t>
            </w:r>
          </w:p>
        </w:tc>
        <w:tc>
          <w:tcPr>
            <w:tcW w:type="dxa" w:w="936"/>
          </w:tcPr>
          <w:p>
            <w:r>
              <w:rPr>
                <w:sz w:val="18"/>
              </w:rPr>
              <w:t>44.0</w:t>
            </w:r>
          </w:p>
        </w:tc>
      </w:tr>
      <w:tr>
        <w:tc>
          <w:tcPr>
            <w:tcW w:type="dxa" w:w="2808"/>
          </w:tcPr>
          <w:p>
            <w:r>
              <w:rPr>
                <w:sz w:val="18"/>
              </w:rPr>
              <w:t>Covariate (descriptive only)</w:t>
            </w:r>
          </w:p>
        </w:tc>
        <w:tc>
          <w:tcPr>
            <w:tcW w:type="dxa" w:w="1080"/>
          </w:tcPr>
          <w:p>
            <w:r>
              <w:rPr>
                <w:sz w:val="18"/>
              </w:rPr>
            </w:r>
          </w:p>
        </w:tc>
        <w:tc>
          <w:tcPr>
            <w:tcW w:type="dxa" w:w="461"/>
          </w:tcPr>
          <w:p>
            <w:r>
              <w:rPr>
                <w:sz w:val="18"/>
              </w:rPr>
            </w:r>
          </w:p>
        </w:tc>
        <w:tc>
          <w:tcPr>
            <w:tcW w:type="dxa" w:w="835"/>
          </w:tcPr>
          <w:p>
            <w:r>
              <w:rPr>
                <w:sz w:val="18"/>
              </w:rPr>
            </w:r>
          </w:p>
        </w:tc>
        <w:tc>
          <w:tcPr>
            <w:tcW w:type="dxa" w:w="792"/>
          </w:tcPr>
          <w:p>
            <w:r>
              <w:rPr>
                <w:sz w:val="18"/>
              </w:rPr>
            </w:r>
          </w:p>
        </w:tc>
        <w:tc>
          <w:tcPr>
            <w:tcW w:type="dxa" w:w="792"/>
          </w:tcPr>
          <w:p>
            <w:r>
              <w:rPr>
                <w:sz w:val="18"/>
              </w:rPr>
            </w:r>
          </w:p>
        </w:tc>
        <w:tc>
          <w:tcPr>
            <w:tcW w:type="dxa" w:w="893"/>
          </w:tcPr>
          <w:p>
            <w:r>
              <w:rPr>
                <w:sz w:val="18"/>
              </w:rPr>
            </w:r>
          </w:p>
        </w:tc>
        <w:tc>
          <w:tcPr>
            <w:tcW w:type="dxa" w:w="936"/>
          </w:tcPr>
          <w:p>
            <w:r>
              <w:rPr>
                <w:sz w:val="18"/>
              </w:rPr>
            </w:r>
          </w:p>
        </w:tc>
      </w:tr>
      <w:tr>
        <w:tc>
          <w:tcPr>
            <w:tcW w:type="dxa" w:w="2808"/>
          </w:tcPr>
          <w:p>
            <w:r>
              <w:rPr>
                <w:sz w:val="18"/>
              </w:rPr>
              <w:t>Air conditioning prevalence</w:t>
            </w:r>
          </w:p>
        </w:tc>
        <w:tc>
          <w:tcPr>
            <w:tcW w:type="dxa" w:w="1080"/>
          </w:tcPr>
          <w:p>
            <w:r>
              <w:rPr>
                <w:sz w:val="18"/>
              </w:rPr>
              <w:t>%</w:t>
            </w:r>
          </w:p>
        </w:tc>
        <w:tc>
          <w:tcPr>
            <w:tcW w:type="dxa" w:w="461"/>
          </w:tcPr>
          <w:p>
            <w:r>
              <w:rPr>
                <w:sz w:val="18"/>
              </w:rPr>
              <w:t>47</w:t>
            </w:r>
          </w:p>
        </w:tc>
        <w:tc>
          <w:tcPr>
            <w:tcW w:type="dxa" w:w="835"/>
          </w:tcPr>
          <w:p>
            <w:r>
              <w:rPr>
                <w:sz w:val="18"/>
              </w:rPr>
              <w:t>89.7</w:t>
            </w:r>
          </w:p>
        </w:tc>
        <w:tc>
          <w:tcPr>
            <w:tcW w:type="dxa" w:w="792"/>
          </w:tcPr>
          <w:p>
            <w:r>
              <w:rPr>
                <w:sz w:val="18"/>
              </w:rPr>
              <w:t>13.6</w:t>
            </w:r>
          </w:p>
        </w:tc>
        <w:tc>
          <w:tcPr>
            <w:tcW w:type="dxa" w:w="792"/>
          </w:tcPr>
          <w:p>
            <w:r>
              <w:rPr>
                <w:sz w:val="18"/>
              </w:rPr>
              <w:t>26.6</w:t>
            </w:r>
          </w:p>
        </w:tc>
        <w:tc>
          <w:tcPr>
            <w:tcW w:type="dxa" w:w="893"/>
          </w:tcPr>
          <w:p>
            <w:r>
              <w:rPr>
                <w:sz w:val="18"/>
              </w:rPr>
              <w:t>94.8</w:t>
            </w:r>
          </w:p>
        </w:tc>
        <w:tc>
          <w:tcPr>
            <w:tcW w:type="dxa" w:w="936"/>
          </w:tcPr>
          <w:p>
            <w:r>
              <w:rPr>
                <w:sz w:val="18"/>
              </w:rPr>
              <w:t>98.2</w:t>
            </w:r>
          </w:p>
        </w:tc>
      </w:tr>
    </w:tbl>
    <w:p w14:paraId="1FBBE138" w14:textId="77777777" w:rsidR="00F82D81" w:rsidRDefault="000D7512" w:rsidP="000D7512">
      <w:pPr>
        <w:pStyle w:val="BodyText"/>
        <w:spacing w:line="360" w:lineRule="auto"/>
      </w:pPr>
      <w:r>
        <w:t>WBGT, wet-bulb globe temperature; SD, standard deviation. WBGT days are based on official Ministry of the Environment daily-maximum observations (June–September 2023). Days with maximum temperature ≥35°C are shown for descriptive comparison and were not used as an adjustment variable. Air conditioning prevalence (2014 National Survey of Family Income and Expenditure) reflects ownership, not use, and was not used as an adjustment variable. Ageing rate and healthcare supply are the primary demographic and healthcare-supply adjustment variables in this analysis.</w:t>
      </w:r>
    </w:p>
    <w:p w14:paraId="05BBEFF3" w14:textId="77777777" w:rsidR="00F82D81" w:rsidRDefault="00B15E45" w:rsidP="000D7512">
      <w:pPr>
        <w:spacing w:line="360" w:lineRule="auto"/>
      </w:pPr>
      <w:r>
        <w:pict w14:anchorId="77418DEC">
          <v:rect id="_x0000_i1039" style="width:0;height:1.5pt" o:hralign="center" o:hrstd="t" o:hr="t"/>
        </w:pict>
      </w:r>
    </w:p>
    <w:p w14:paraId="15F0DF26" w14:textId="77777777" w:rsidR="00F82D81" w:rsidRDefault="000D7512" w:rsidP="000D7512">
      <w:pPr>
        <w:pStyle w:val="Heading2"/>
        <w:spacing w:line="360" w:lineRule="auto"/>
      </w:pPr>
      <w:bookmarkStart w:id="62" w:name="Xc1d11713d26db82ea0249b416de0bb0739e9656"/>
      <w:bookmarkEnd w:id="60"/>
      <w:r>
        <w:t>Table 2. Hierarchical Regression Models: Elderly Solo Household Rate and Large-Volume Infusion Therapy Utilization (N = 47)</w:t>
      </w:r>
    </w:p>
    <w:tbl>
      <w:tblPr>
        <w:tblW w:type="auto" w:w="0"/>
        <w:tblLayout w:type="fixed"/>
        <w:tblLook w:firstColumn="1" w:firstRow="1" w:lastColumn="0" w:lastRow="0" w:noHBand="0" w:noVBand="1" w:val="04A0"/>
        <w:tblLayout w:type="fixed"/>
      </w:tblPr>
      <w:tblGrid>
        <w:gridCol w:w="864"/>
        <w:gridCol w:w="1512"/>
        <w:gridCol w:w="1440"/>
        <w:gridCol w:w="1368"/>
        <w:gridCol w:w="792"/>
        <w:gridCol w:w="1008"/>
        <w:gridCol w:w="936"/>
        <w:gridCol w:w="720"/>
      </w:tblGrid>
      <w:tr>
        <w:tc>
          <w:tcPr>
            <w:tcW w:type="dxa" w:w="864"/>
          </w:tcPr>
          <w:p>
            <w:r>
              <w:rPr>
                <w:b/>
                <w:sz w:val="18"/>
              </w:rPr>
              <w:t>Model</w:t>
            </w:r>
          </w:p>
        </w:tc>
        <w:tc>
          <w:tcPr>
            <w:tcW w:type="dxa" w:w="1512"/>
          </w:tcPr>
          <w:p>
            <w:r>
              <w:rPr>
                <w:b/>
                <w:sz w:val="18"/>
              </w:rPr>
              <w:t>Added covariates</w:t>
            </w:r>
          </w:p>
        </w:tc>
        <w:tc>
          <w:tcPr>
            <w:tcW w:type="dxa" w:w="1440"/>
          </w:tcPr>
          <w:p>
            <w:r>
              <w:rPr>
                <w:b/>
                <w:sz w:val="18"/>
              </w:rPr>
              <w:t>β (95% CI)</w:t>
            </w:r>
          </w:p>
        </w:tc>
        <w:tc>
          <w:tcPr>
            <w:tcW w:type="dxa" w:w="1368"/>
          </w:tcPr>
          <w:p>
            <w:r>
              <w:rPr>
                <w:b/>
                <w:sz w:val="18"/>
              </w:rPr>
              <w:t>Standardized β (95% CI)</w:t>
            </w:r>
          </w:p>
        </w:tc>
        <w:tc>
          <w:tcPr>
            <w:tcW w:type="dxa" w:w="792"/>
          </w:tcPr>
          <w:p>
            <w:r>
              <w:rPr>
                <w:b/>
                <w:sz w:val="18"/>
              </w:rPr>
              <w:t>p</w:t>
            </w:r>
          </w:p>
        </w:tc>
        <w:tc>
          <w:tcPr>
            <w:tcW w:type="dxa" w:w="1008"/>
          </w:tcPr>
          <w:p>
            <w:r>
              <w:rPr>
                <w:b/>
                <w:sz w:val="18"/>
              </w:rPr>
              <w:t>Exposure partial R²</w:t>
            </w:r>
          </w:p>
        </w:tc>
        <w:tc>
          <w:tcPr>
            <w:tcW w:type="dxa" w:w="936"/>
          </w:tcPr>
          <w:p>
            <w:r>
              <w:rPr>
                <w:b/>
                <w:sz w:val="18"/>
              </w:rPr>
              <w:t>Adjusted R²</w:t>
            </w:r>
          </w:p>
        </w:tc>
        <w:tc>
          <w:tcPr>
            <w:tcW w:type="dxa" w:w="720"/>
          </w:tcPr>
          <w:p>
            <w:r>
              <w:rPr>
                <w:b/>
                <w:sz w:val="18"/>
              </w:rPr>
              <w:t>AICc</w:t>
            </w:r>
          </w:p>
        </w:tc>
      </w:tr>
      <w:tr>
        <w:tc>
          <w:tcPr>
            <w:tcW w:type="dxa" w:w="864"/>
          </w:tcPr>
          <w:p>
            <w:r>
              <w:rPr>
                <w:sz w:val="18"/>
              </w:rPr>
              <w:t>O-A</w:t>
            </w:r>
          </w:p>
        </w:tc>
        <w:tc>
          <w:tcPr>
            <w:tcW w:type="dxa" w:w="1512"/>
          </w:tcPr>
          <w:p>
            <w:r>
              <w:rPr>
                <w:sz w:val="18"/>
              </w:rPr>
              <w:t>Unadjusted</w:t>
            </w:r>
          </w:p>
        </w:tc>
        <w:tc>
          <w:tcPr>
            <w:tcW w:type="dxa" w:w="1440"/>
          </w:tcPr>
          <w:p>
            <w:r>
              <w:rPr>
                <w:sz w:val="18"/>
              </w:rPr>
              <w:t>656.2 (326.9, 985.6)</w:t>
            </w:r>
          </w:p>
        </w:tc>
        <w:tc>
          <w:tcPr>
            <w:tcW w:type="dxa" w:w="1368"/>
          </w:tcPr>
          <w:p>
            <w:r>
              <w:rPr>
                <w:sz w:val="18"/>
              </w:rPr>
              <w:t>0.521 (0.260, 0.783)</w:t>
            </w:r>
          </w:p>
        </w:tc>
        <w:tc>
          <w:tcPr>
            <w:tcW w:type="dxa" w:w="792"/>
          </w:tcPr>
          <w:p>
            <w:r>
              <w:rPr>
                <w:sz w:val="18"/>
              </w:rPr>
              <w:t>&lt;0.001</w:t>
            </w:r>
          </w:p>
        </w:tc>
        <w:tc>
          <w:tcPr>
            <w:tcW w:type="dxa" w:w="1008"/>
          </w:tcPr>
          <w:p>
            <w:r>
              <w:rPr>
                <w:sz w:val="18"/>
              </w:rPr>
              <w:t>0.272</w:t>
            </w:r>
          </w:p>
        </w:tc>
        <w:tc>
          <w:tcPr>
            <w:tcW w:type="dxa" w:w="936"/>
          </w:tcPr>
          <w:p>
            <w:r>
              <w:rPr>
                <w:sz w:val="18"/>
              </w:rPr>
              <w:t>0.256</w:t>
            </w:r>
          </w:p>
        </w:tc>
        <w:tc>
          <w:tcPr>
            <w:tcW w:type="dxa" w:w="720"/>
          </w:tcPr>
          <w:p>
            <w:r>
              <w:rPr>
                <w:sz w:val="18"/>
              </w:rPr>
              <w:t>853.2</w:t>
            </w:r>
          </w:p>
        </w:tc>
      </w:tr>
      <w:tr>
        <w:tc>
          <w:tcPr>
            <w:tcW w:type="dxa" w:w="864"/>
          </w:tcPr>
          <w:p>
            <w:r>
              <w:rPr>
                <w:sz w:val="18"/>
              </w:rPr>
              <w:t>O-B</w:t>
            </w:r>
          </w:p>
        </w:tc>
        <w:tc>
          <w:tcPr>
            <w:tcW w:type="dxa" w:w="1512"/>
          </w:tcPr>
          <w:p>
            <w:r>
              <w:rPr>
                <w:sz w:val="18"/>
              </w:rPr>
              <w:t>+ ageing rate</w:t>
            </w:r>
          </w:p>
        </w:tc>
        <w:tc>
          <w:tcPr>
            <w:tcW w:type="dxa" w:w="1440"/>
          </w:tcPr>
          <w:p>
            <w:r>
              <w:rPr>
                <w:sz w:val="18"/>
              </w:rPr>
              <w:t>306.1 (-71.3, 683.5)</w:t>
            </w:r>
          </w:p>
        </w:tc>
        <w:tc>
          <w:tcPr>
            <w:tcW w:type="dxa" w:w="1368"/>
          </w:tcPr>
          <w:p>
            <w:r>
              <w:rPr>
                <w:sz w:val="18"/>
              </w:rPr>
              <w:t>0.243 (-0.057, 0.543)</w:t>
            </w:r>
          </w:p>
        </w:tc>
        <w:tc>
          <w:tcPr>
            <w:tcW w:type="dxa" w:w="792"/>
          </w:tcPr>
          <w:p>
            <w:r>
              <w:rPr>
                <w:sz w:val="18"/>
              </w:rPr>
              <w:t>0.112</w:t>
            </w:r>
          </w:p>
        </w:tc>
        <w:tc>
          <w:tcPr>
            <w:tcW w:type="dxa" w:w="1008"/>
          </w:tcPr>
          <w:p>
            <w:r>
              <w:rPr>
                <w:sz w:val="18"/>
              </w:rPr>
              <w:t>0.056</w:t>
            </w:r>
          </w:p>
        </w:tc>
        <w:tc>
          <w:tcPr>
            <w:tcW w:type="dxa" w:w="936"/>
          </w:tcPr>
          <w:p>
            <w:r>
              <w:rPr>
                <w:sz w:val="18"/>
              </w:rPr>
              <w:t>0.365</w:t>
            </w:r>
          </w:p>
        </w:tc>
        <w:tc>
          <w:tcPr>
            <w:tcW w:type="dxa" w:w="720"/>
          </w:tcPr>
          <w:p>
            <w:r>
              <w:rPr>
                <w:sz w:val="18"/>
              </w:rPr>
              <w:t>847.1</w:t>
            </w:r>
          </w:p>
        </w:tc>
      </w:tr>
      <w:tr>
        <w:tc>
          <w:tcPr>
            <w:tcW w:type="dxa" w:w="864"/>
          </w:tcPr>
          <w:p>
            <w:r>
              <w:rPr>
                <w:sz w:val="18"/>
              </w:rPr>
              <w:t>O-C</w:t>
            </w:r>
          </w:p>
        </w:tc>
        <w:tc>
          <w:tcPr>
            <w:tcW w:type="dxa" w:w="1512"/>
          </w:tcPr>
          <w:p>
            <w:r>
              <w:rPr>
                <w:sz w:val="18"/>
              </w:rPr>
              <w:t>+ ageing rate + hospital beds</w:t>
            </w:r>
          </w:p>
        </w:tc>
        <w:tc>
          <w:tcPr>
            <w:tcW w:type="dxa" w:w="1440"/>
          </w:tcPr>
          <w:p>
            <w:r>
              <w:rPr>
                <w:sz w:val="18"/>
              </w:rPr>
              <w:t>94.1 (-302.4, 490.6)</w:t>
            </w:r>
          </w:p>
        </w:tc>
        <w:tc>
          <w:tcPr>
            <w:tcW w:type="dxa" w:w="1368"/>
          </w:tcPr>
          <w:p>
            <w:r>
              <w:rPr>
                <w:sz w:val="18"/>
              </w:rPr>
              <w:t>0.075 (-0.240, 0.390)</w:t>
            </w:r>
          </w:p>
        </w:tc>
        <w:tc>
          <w:tcPr>
            <w:tcW w:type="dxa" w:w="792"/>
          </w:tcPr>
          <w:p>
            <w:r>
              <w:rPr>
                <w:sz w:val="18"/>
              </w:rPr>
              <w:t>0.642</w:t>
            </w:r>
          </w:p>
        </w:tc>
        <w:tc>
          <w:tcPr>
            <w:tcW w:type="dxa" w:w="1008"/>
          </w:tcPr>
          <w:p>
            <w:r>
              <w:rPr>
                <w:sz w:val="18"/>
              </w:rPr>
              <w:t>0.004</w:t>
            </w:r>
          </w:p>
        </w:tc>
        <w:tc>
          <w:tcPr>
            <w:tcW w:type="dxa" w:w="936"/>
          </w:tcPr>
          <w:p>
            <w:r>
              <w:rPr>
                <w:sz w:val="18"/>
              </w:rPr>
              <w:t>0.386</w:t>
            </w:r>
          </w:p>
        </w:tc>
        <w:tc>
          <w:tcPr>
            <w:tcW w:type="dxa" w:w="720"/>
          </w:tcPr>
          <w:p>
            <w:r>
              <w:rPr>
                <w:sz w:val="18"/>
              </w:rPr>
              <w:t>846.9</w:t>
            </w:r>
          </w:p>
        </w:tc>
      </w:tr>
      <w:tr>
        <w:tc>
          <w:tcPr>
            <w:tcW w:type="dxa" w:w="864"/>
          </w:tcPr>
          <w:p>
            <w:r>
              <w:rPr>
                <w:sz w:val="18"/>
              </w:rPr>
              <w:t>O-D</w:t>
            </w:r>
          </w:p>
        </w:tc>
        <w:tc>
          <w:tcPr>
            <w:tcW w:type="dxa" w:w="1512"/>
          </w:tcPr>
          <w:p>
            <w:r>
              <w:rPr>
                <w:sz w:val="18"/>
              </w:rPr>
              <w:t>+ ageing rate + hospital beds + WBGT≥28d</w:t>
            </w:r>
          </w:p>
        </w:tc>
        <w:tc>
          <w:tcPr>
            <w:tcW w:type="dxa" w:w="1440"/>
          </w:tcPr>
          <w:p>
            <w:r>
              <w:rPr>
                <w:sz w:val="18"/>
              </w:rPr>
              <w:t>-9.4 (-493.9, 475.1)</w:t>
            </w:r>
          </w:p>
        </w:tc>
        <w:tc>
          <w:tcPr>
            <w:tcW w:type="dxa" w:w="1368"/>
          </w:tcPr>
          <w:p>
            <w:r>
              <w:rPr>
                <w:sz w:val="18"/>
              </w:rPr>
              <w:t>-0.007 (-0.392, 0.377)</w:t>
            </w:r>
          </w:p>
        </w:tc>
        <w:tc>
          <w:tcPr>
            <w:tcW w:type="dxa" w:w="792"/>
          </w:tcPr>
          <w:p>
            <w:r>
              <w:rPr>
                <w:sz w:val="18"/>
              </w:rPr>
              <w:t>0.970</w:t>
            </w:r>
          </w:p>
        </w:tc>
        <w:tc>
          <w:tcPr>
            <w:tcW w:type="dxa" w:w="1008"/>
          </w:tcPr>
          <w:p>
            <w:r>
              <w:rPr>
                <w:sz w:val="18"/>
              </w:rPr>
              <w:t>&lt;0.001</w:t>
            </w:r>
          </w:p>
        </w:tc>
        <w:tc>
          <w:tcPr>
            <w:tcW w:type="dxa" w:w="936"/>
          </w:tcPr>
          <w:p>
            <w:r>
              <w:rPr>
                <w:sz w:val="18"/>
              </w:rPr>
              <w:t>0.422</w:t>
            </w:r>
          </w:p>
        </w:tc>
        <w:tc>
          <w:tcPr>
            <w:tcW w:type="dxa" w:w="720"/>
          </w:tcPr>
          <w:p>
            <w:r>
              <w:rPr>
                <w:sz w:val="18"/>
              </w:rPr>
              <w:t>845.6</w:t>
            </w:r>
          </w:p>
        </w:tc>
      </w:tr>
    </w:tbl>
    <w:p w14:paraId="6EC14EEC" w14:textId="77777777" w:rsidR="00F82D81" w:rsidRDefault="000D7512" w:rsidP="000D7512">
      <w:pPr>
        <w:pStyle w:val="BodyText"/>
        <w:spacing w:line="360" w:lineRule="auto"/>
      </w:pPr>
      <w:r>
        <w:t>N = 47 for all models. Model O-A: exposure alone. Model O-B: Model O-A + prefectural ageing rate. Model O-C: Model O-B + general hospital beds per 100,000. Model O-D: Model O-C + days with WBGT ≥28°C (each model cumulative). All confidence intervals are heteroskedasticity-consistent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p>
    <w:p w14:paraId="08FDA64E" w14:textId="77777777" w:rsidR="00F82D81" w:rsidRDefault="00B15E45" w:rsidP="000D7512">
      <w:pPr>
        <w:spacing w:line="360" w:lineRule="auto"/>
      </w:pPr>
      <w:r>
        <w:pict w14:anchorId="28EE9FEE">
          <v:rect id="_x0000_i1040" style="width:0;height:1.5pt" o:hralign="center" o:hrstd="t" o:hr="t"/>
        </w:pict>
      </w:r>
    </w:p>
    <w:bookmarkEnd w:id="62"/>
    <w:p w14:paraId="05E1A77A" w14:textId="77777777" w:rsidR="00F82D81" w:rsidRDefault="000D7512" w:rsidP="000D7512">
      <w:pPr>
        <w:pStyle w:val="Heading2"/>
        <w:spacing w:line="360" w:lineRule="auto"/>
      </w:pPr>
      <w:r>
        <w:lastRenderedPageBreak/>
        <w:t>Figure Legends</w:t>
      </w:r>
    </w:p>
    <w:p w14:paraId="3CE29C15" w14:textId="77777777" w:rsidR="00F82D81" w:rsidRDefault="000D7512" w:rsidP="000D7512">
      <w:pPr>
        <w:pStyle w:val="FirstParagraph"/>
        <w:spacing w:line="360" w:lineRule="auto"/>
      </w:pPr>
      <w:r>
        <w:t>Fig. 1 Coefficient plot for elderly solo household rate across Models O-A through O-D, showing unstandardized coefficients with HC3 95% confidence intervals and a zero reference line.</w:t>
      </w:r>
    </w:p>
    <w:p w14:paraId="4DCCF8AE" w14:textId="77777777" w:rsidR="00F82D81" w:rsidRDefault="000D7512" w:rsidP="000D7512">
      <w:pPr>
        <w:pStyle w:val="Heading2"/>
        <w:spacing w:line="360" w:lineRule="auto"/>
      </w:pPr>
      <w:r>
        <w:rPr>
          <w:b/>
        </w:rPr>
        <w:t>Fig. 1</w:t>
      </w:r>
    </w:p>
    <w:p w14:paraId="4B6D1097" w14:textId="77777777" w:rsidR="00F82D81" w:rsidRDefault="000D7512" w:rsidP="000D7512">
      <w:pPr>
        <w:pStyle w:val="FirstParagraph"/>
        <w:spacing w:line="360" w:lineRule="auto"/>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ure_original_exposure_coefficients.png"/>
                    <pic:cNvPicPr/>
                  </pic:nvPicPr>
                  <pic:blipFill>
                    <a:blip r:embed="rId15"/>
                    <a:stretch>
                      <a:fillRect/>
                    </a:stretch>
                  </pic:blipFill>
                  <pic:spPr>
                    <a:xfrm>
                      <a:off x="0" y="0"/>
                      <a:ext cx="5029200" cy="3771900"/>
                    </a:xfrm>
                    <a:prstGeom prst="rect"/>
                  </pic:spPr>
                </pic:pic>
              </a:graphicData>
            </a:graphic>
          </wp:inline>
        </w:drawing>
      </w:r>
    </w:p>
    <w:p w14:paraId="3CDFBC15" w14:textId="77777777" w:rsidR="00F82D81" w:rsidRDefault="00B15E45" w:rsidP="000D7512">
      <w:pPr>
        <w:spacing w:line="360" w:lineRule="auto"/>
      </w:pPr>
      <w:r>
        <w:pict w14:anchorId="76C62555">
          <v:rect id="_x0000_i1041" style="width:0;height:1.5pt" o:hralign="center" o:hrstd="t" o:hr="t"/>
        </w:pict>
      </w:r>
    </w:p>
    <w:p w14:paraId="6E3F3822" w14:textId="77777777" w:rsidR="00F82D81" w:rsidRDefault="000D7512" w:rsidP="000D7512">
      <w:pPr>
        <w:pStyle w:val="Heading2"/>
        <w:spacing w:line="360" w:lineRule="auto"/>
      </w:pPr>
      <w:r>
        <w:rPr>
          <w:b/>
        </w:rPr>
        <w:t>Online Resource 1</w:t>
      </w:r>
    </w:p>
    <w:p w14:paraId="0A596DA3" w14:textId="77777777" w:rsidR="00F82D81" w:rsidRDefault="000D7512" w:rsidP="000D7512">
      <w:pPr>
        <w:pStyle w:val="FirstParagraph"/>
        <w:spacing w:line="360" w:lineRule="auto"/>
      </w:pP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p>
    <w:sectPr w:rsidR="00F82D81" w:rsidSect="000D75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2D0" w14:textId="77777777" w:rsidR="00B15E45" w:rsidRDefault="00B15E45" w:rsidP="000D7512">
      <w:pPr>
        <w:spacing w:after="0"/>
      </w:pPr>
      <w:r>
        <w:separator/>
      </w:r>
    </w:p>
  </w:endnote>
  <w:endnote w:type="continuationSeparator" w:id="0">
    <w:p w14:paraId="0C1CD2FB" w14:textId="77777777" w:rsidR="00B15E45" w:rsidRDefault="00B15E4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5A7" w14:textId="77777777" w:rsidR="00B15E45" w:rsidRDefault="00B15E45" w:rsidP="000D7512">
      <w:pPr>
        <w:spacing w:after="0"/>
      </w:pPr>
      <w:r>
        <w:separator/>
      </w:r>
    </w:p>
  </w:footnote>
  <w:footnote w:type="continuationSeparator" w:id="0">
    <w:p w14:paraId="3474314B" w14:textId="77777777" w:rsidR="00B15E45" w:rsidRDefault="00B15E45" w:rsidP="000D75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9B73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0D7512"/>
    <w:pPr>
      <w:tabs>
        <w:tab w:val="center" w:pos="4252"/>
        <w:tab w:val="right" w:pos="8504"/>
      </w:tabs>
      <w:snapToGrid w:val="0"/>
    </w:pPr>
  </w:style>
  <w:style w:type="character" w:customStyle="1" w:styleId="HeaderChar">
    <w:name w:val="Header Char"/>
    <w:basedOn w:val="DefaultParagraphFont"/>
    <w:link w:val="Header"/>
    <w:rsid w:val="000D7512"/>
  </w:style>
  <w:style w:type="paragraph" w:styleId="Footer">
    <w:name w:val="footer"/>
    <w:basedOn w:val="Normal"/>
    <w:link w:val="FooterChar"/>
    <w:rsid w:val="000D7512"/>
    <w:pPr>
      <w:tabs>
        <w:tab w:val="center" w:pos="4252"/>
        <w:tab w:val="right" w:pos="8504"/>
      </w:tabs>
      <w:snapToGrid w:val="0"/>
    </w:pPr>
  </w:style>
  <w:style w:type="character" w:customStyle="1" w:styleId="FooterChar">
    <w:name w:val="Footer Char"/>
    <w:basedOn w:val="DefaultParagraphFont"/>
    <w:link w:val="Footer"/>
    <w:rsid w:val="000D7512"/>
  </w:style>
  <w:style w:type="character" w:styleId="LineNumber">
    <w:name w:val="line number"/>
    <w:basedOn w:val="DefaultParagraphFont"/>
    <w:rsid w:val="000D7512"/>
  </w:style>
  <w:style w:type="character" w:styleId="CommentReference">
    <w:name w:val="annotation reference"/>
    <w:basedOn w:val="DefaultParagraphFont"/>
    <w:rsid w:val="00DA2D53"/>
    <w:rPr>
      <w:sz w:val="16"/>
      <w:szCs w:val="16"/>
    </w:rPr>
  </w:style>
  <w:style w:type="paragraph" w:styleId="CommentText">
    <w:name w:val="annotation text"/>
    <w:basedOn w:val="Normal"/>
    <w:link w:val="CommentTextChar"/>
    <w:rsid w:val="00DA2D53"/>
    <w:rPr>
      <w:sz w:val="20"/>
      <w:szCs w:val="20"/>
    </w:rPr>
  </w:style>
  <w:style w:type="character" w:customStyle="1" w:styleId="CommentTextChar">
    <w:name w:val="Comment Text Char"/>
    <w:basedOn w:val="DefaultParagraphFont"/>
    <w:link w:val="CommentText"/>
    <w:rsid w:val="00DA2D53"/>
    <w:rPr>
      <w:sz w:val="20"/>
      <w:szCs w:val="20"/>
    </w:rPr>
  </w:style>
  <w:style w:type="paragraph" w:styleId="CommentSubject">
    <w:name w:val="annotation subject"/>
    <w:basedOn w:val="CommentText"/>
    <w:next w:val="CommentText"/>
    <w:link w:val="CommentSubjectChar"/>
    <w:rsid w:val="00DA2D53"/>
    <w:rPr>
      <w:b/>
      <w:bCs/>
    </w:rPr>
  </w:style>
  <w:style w:type="character" w:customStyle="1" w:styleId="CommentSubjectChar">
    <w:name w:val="Comment Subject Char"/>
    <w:basedOn w:val="CommentTextChar"/>
    <w:link w:val="CommentSubject"/>
    <w:rsid w:val="00DA2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5045</Words>
  <Characters>28762</Characters>
  <Application>Microsoft Office Word</Application>
  <DocSecurity>0</DocSecurity>
  <Lines>239</Lines>
  <Paragraphs>67</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2026-07-08T10:09:00Z</dcterms:modified>
</cp:coreProperties>
</file>