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Jennifer Fitchett</w:t>
      </w:r>
      <w:r>
        <w:br/>
      </w:r>
      <w:r>
        <w:t>Field Editor, International Journal of Biometeorology</w:t>
      </w:r>
    </w:p>
    <w:p>
      <w:r>
        <w:t>Re: Submission ID 0cd18650-d5db-481f-b00b-bbde3cda74f7 — Major Revision</w:t>
      </w:r>
    </w:p>
    <w:p>
      <w:r>
        <w:t>Dear Dr Fitchett,</w:t>
      </w:r>
    </w:p>
    <w:p>
      <w:r>
        <w:t>Thank you for the opportunity to revise our manuscript. We are grateful to you and to both reviewers for the careful, constructive, and rigorous evaluation of our work, and we have addressed every comment individually and in detail.</w:t>
      </w:r>
    </w:p>
    <w:p>
      <w:r>
        <w:t>In direct response to Reviewer 2's central request, we retained the originally submitted exposure (percentage of all households consisting of one person aged ≥65 years) and added prefectural ageing rate to the same model. The exposure coefficient changed from 656.2 (95% CI 326.9–985.6, p&lt;0.001) to 306.1 (95% CI −71.3–683.5, p=0.112), a descriptive attenuation of 53.3%, and statistical significance was lost. Further adjustment for healthcare supply and official daily-maximum WBGT attenuated the estimate to near zero. We also independently and exhaustively reviewed the complete public file structure of the 10th NDB Open Data and confirmed that prefecture-by-age cross-tabulated counts for G004 are not publicly available.</w:t>
      </w:r>
    </w:p>
    <w:p>
      <w:r>
        <w:t>These findings materially changed the interpretation of the study, and we have not attempted to preserve the original conclusion. We have retitled the manuscript, rewritten the Abstract, Introduction, Results, Discussion, and Conclusions, replaced the original simplified WBGT approximation with official measurements, removed the "socially blind" framing and the sixfold-comparison claim, renamed the GitHub repository, corrected the Miyatake et al. DOI, framed the study explicitly as hypothesis-generating, and substantially expanded the Limitations. A complete point-by-point response to every comment from the Editor, Reviewer 1 (35 items), and Reviewer 2 (6 items) is enclosed. We believe this transparent, demographically informed conclusion is of direct value to the Journal's readers working on heat-health surveillance and social-vulnerability indicators.</w:t>
      </w:r>
    </w:p>
    <w:p>
      <w:r>
        <w:t>We confirm that this submission has not been published elsewhere and is not under consideration by another journal. All authors have approved the revised manuscript.</w:t>
      </w:r>
    </w:p>
    <w:p>
      <w:r>
        <w:t>Thank you for your consideration.</w:t>
      </w:r>
    </w:p>
    <w:p>
      <w:r>
        <w:t>Sincerely,</w:t>
      </w:r>
    </w:p>
    <w:p>
      <w:r>
        <w:t>Haruki Saito (corresponding author)</w:t>
      </w:r>
      <w:r>
        <w:br/>
      </w:r>
      <w:r>
        <w:t>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