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0ED1" w14:textId="77777777" w:rsidR="00F82D81" w:rsidRDefault="000D7512" w:rsidP="000D7512">
      <w:pPr>
        <w:pStyle w:val="Title"/>
        <w:spacing w:line="360" w:lineRule="auto"/>
      </w:pPr>
      <w:r>
        <w:t>Prefecture-Level Older-Adult Solo Household Rate and Large-Volume Infusion Therapy Utilization in Japan: An Ecological Study</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EC80A74" w14:textId="77777777" w:rsidR="006168B1" w:rsidRDefault="006168B1" w:rsidP="006168B1">
      <w:pPr>
        <w:pStyle w:val="BodyText"/>
        <w:numPr>
          <w:ilvl w:val="0"/>
          <w:numId w:val="6"/>
        </w:numPr>
        <w:rPr>
          <w:lang w:eastAsia="ja-JP"/>
        </w:rPr>
      </w:pPr>
      <w:r>
        <w:rPr>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lang w:eastAsia="ja-JP"/>
        </w:rPr>
        <w:t>Fukushima, Japan</w:t>
      </w:r>
    </w:p>
    <w:p w14:paraId="70E278A5" w14:textId="77777777" w:rsidR="006168B1" w:rsidRDefault="006168B1" w:rsidP="006168B1">
      <w:pPr>
        <w:pStyle w:val="BodyText"/>
        <w:numPr>
          <w:ilvl w:val="0"/>
          <w:numId w:val="6"/>
        </w:numPr>
        <w:rPr>
          <w:lang w:eastAsia="ja-JP"/>
        </w:rPr>
      </w:pPr>
      <w:r>
        <w:rPr>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lang w:eastAsia="ja-JP"/>
        </w:rPr>
        <w:t>Fukushima Medical University, Fukushima, Japan</w:t>
      </w:r>
    </w:p>
    <w:p w14:paraId="20C310CE" w14:textId="5B5F4882" w:rsidR="006168B1" w:rsidRPr="006168B1" w:rsidRDefault="006168B1" w:rsidP="006168B1">
      <w:pPr>
        <w:pStyle w:val="BodyText"/>
        <w:rPr>
          <w:lang w:eastAsia="ja-JP"/>
        </w:rPr>
      </w:pPr>
      <w:r>
        <w:rPr>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p>
    <w:p w14:paraId="1CA9F8F1" w14:textId="77777777" w:rsidR="00F82D81" w:rsidRDefault="000D7512" w:rsidP="000D7512">
      <w:pPr>
        <w:pStyle w:val="BodyText"/>
        <w:spacing w:line="360" w:lineRule="auto"/>
      </w:pPr>
      <w: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ageing, and urbanization are expected to increase this burden (IPCC 2021; Günsche et al. 2026).</w:t>
      </w:r>
    </w:p>
    <w:p w14:paraId="1B189B81" w14:textId="71D56709" w:rsidR="00F82D81" w:rsidRDefault="000D7512" w:rsidP="000D7512">
      <w:pPr>
        <w:pStyle w:val="BodyText"/>
        <w:spacing w:line="360" w:lineRule="auto"/>
      </w:pPr>
      <w: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and do not by themselves identify which populations may be least able to receive warnings, act on them, or obtain timely assistance.</w:t>
      </w:r>
    </w:p>
    <w:p w14:paraId="1A126B1F" w14:textId="77777777" w:rsidR="00F82D81" w:rsidRDefault="000D7512" w:rsidP="000D7512">
      <w:pPr>
        <w:pStyle w:val="BodyText"/>
        <w:spacing w:line="360" w:lineRule="auto"/>
      </w:pP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Construct Validity: FDMA Heatstroke Transport Validation</w:t>
      </w:r>
    </w:p>
    <w:p w14:paraId="59D1DEA9" w14:textId="77777777" w:rsidR="00F82D81" w:rsidRDefault="000D7512" w:rsidP="000D7512">
      <w:pPr>
        <w:pStyle w:val="FirstParagraph"/>
        <w:spacing w:line="360" w:lineRule="auto"/>
      </w:pPr>
      <w: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p>
    <w:p w14:paraId="192FFC10" w14:textId="77777777" w:rsidR="00F82D81" w:rsidRDefault="000D7512" w:rsidP="000D7512">
      <w:pPr>
        <w:pStyle w:val="BodyText"/>
        <w:spacing w:line="360" w:lineRule="auto"/>
      </w:pPr>
      <w:r>
        <w:t>Physiological vulnerability to heat among older adults, including reduced thermoregulation and blunted thirst perception, remains biologically plausible and is well documented (Kenney and Munce 2003; Bouchama and Knochel 2002; Bach et al. 2024; Blatteis 2012). However, the present ecological results indicate that a prefecture-level living-alone indicator does not, by itself, capture an independent surveillance-relevant signal once population age structure is taken into account.</w:t>
      </w:r>
    </w:p>
    <w:p w14:paraId="60E59EEB" w14:textId="77777777" w:rsidR="00F82D81" w:rsidRDefault="000D7512" w:rsidP="000D7512">
      <w:pPr>
        <w:pStyle w:val="BodyText"/>
        <w:spacing w:line="360" w:lineRule="auto"/>
      </w:pPr>
      <w: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t>The absence of a robust independent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t>These findings suggest that prefecture-level social-vulnerability indicators such as elderly solo household rate should not be interpreted as independent heat-vulnerability markers without accounting for population age structure, healthcare supply, and improved heat-exposure measures. This is consistent with, rather than a departure from, the original rationale for examining social indicators in heat-health surveillance: it indicates that such indicators require careful demographic validation before being proposed for that purpose.</w:t>
      </w:r>
    </w:p>
    <w:p w14:paraId="2C2983C0" w14:textId="77777777" w:rsidR="00F82D81" w:rsidRDefault="000D7512" w:rsidP="000D7512">
      <w:pPr>
        <w:pStyle w:val="BodyText"/>
        <w:spacing w:line="360" w:lineRule="auto"/>
      </w:pPr>
      <w:r>
        <w:t>Strengths include nationwide coverage of all 47 prefectures, use of NDB Open Data, direct re-examination of the originally specified exposure and outcome, replacement of the original simplified WBGT approximation with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t>In this nationwide ecological study, elderly solo household rate was associated with large-volume infusion therapy utilization in unadjusted analysis. However, this association was substantially attenuated and no longer statistically significant after adjustment for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this revision corresponds to Zenodo version DOI [[ZENODO_VERSION_DOI_PENDING]] (concept DOI: https://doi.org/10.5281/zenodo.20740375).</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Anthropic, Claude 5/Sonnet family,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3168"/>
        <w:gridCol w:w="1296"/>
        <w:gridCol w:w="504"/>
        <w:gridCol w:w="936"/>
        <w:gridCol w:w="936"/>
        <w:gridCol w:w="936"/>
        <w:gridCol w:w="936"/>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893F802" w14:textId="77777777" w:rsidR="00F82D81" w:rsidRDefault="000D7512" w:rsidP="000D7512">
            <w:pPr>
              <w:pStyle w:val="Compact"/>
              <w:spacing w:line="360" w:lineRule="auto"/>
            </w:pPr>
            <w:r>
              <w:rPr>
                <w:sz w:val="18"/>
              </w:rPr>
              <w:t>Variable</w:t>
            </w:r>
          </w:p>
        </w:tc>
        <w:tc>
          <w:tcPr>
            <w:tcW w:w="1296" w:type="dxa"/>
          </w:tcPr>
          <w:p w14:paraId="2F9E1625" w14:textId="77777777" w:rsidR="00F82D81" w:rsidRDefault="000D7512" w:rsidP="000D7512">
            <w:pPr>
              <w:pStyle w:val="Compact"/>
              <w:spacing w:line="360" w:lineRule="auto"/>
            </w:pPr>
            <w:r>
              <w:rPr>
                <w:sz w:val="18"/>
              </w:rPr>
              <w:t>Unit</w:t>
            </w:r>
          </w:p>
        </w:tc>
        <w:tc>
          <w:tcPr>
            <w:tcW w:w="504" w:type="dxa"/>
          </w:tcPr>
          <w:p w14:paraId="5EC4481E" w14:textId="77777777" w:rsidR="00F82D81" w:rsidRDefault="000D7512" w:rsidP="000D7512">
            <w:pPr>
              <w:pStyle w:val="Compact"/>
              <w:spacing w:line="360" w:lineRule="auto"/>
              <w:jc w:val="right"/>
            </w:pPr>
            <w:r>
              <w:rPr>
                <w:sz w:val="18"/>
              </w:rPr>
              <w:t>N</w:t>
            </w:r>
          </w:p>
        </w:tc>
        <w:tc>
          <w:tcPr>
            <w:tcW w:w="936" w:type="dxa"/>
          </w:tcPr>
          <w:p w14:paraId="2B0F91B6" w14:textId="77777777" w:rsidR="00F82D81" w:rsidRDefault="000D7512" w:rsidP="000D7512">
            <w:pPr>
              <w:pStyle w:val="Compact"/>
              <w:spacing w:line="360" w:lineRule="auto"/>
              <w:jc w:val="right"/>
            </w:pPr>
            <w:r>
              <w:rPr>
                <w:sz w:val="18"/>
              </w:rPr>
              <w:t>Mean</w:t>
            </w:r>
          </w:p>
        </w:tc>
        <w:tc>
          <w:tcPr>
            <w:tcW w:w="936" w:type="dxa"/>
          </w:tcPr>
          <w:p w14:paraId="0F55B701" w14:textId="77777777" w:rsidR="00F82D81" w:rsidRDefault="000D7512" w:rsidP="000D7512">
            <w:pPr>
              <w:pStyle w:val="Compact"/>
              <w:spacing w:line="360" w:lineRule="auto"/>
              <w:jc w:val="right"/>
            </w:pPr>
            <w:r>
              <w:rPr>
                <w:sz w:val="18"/>
              </w:rPr>
              <w:t>SD</w:t>
            </w:r>
          </w:p>
        </w:tc>
        <w:tc>
          <w:tcPr>
            <w:tcW w:w="936" w:type="dxa"/>
          </w:tcPr>
          <w:p w14:paraId="665A6A91" w14:textId="77777777" w:rsidR="00F82D81" w:rsidRDefault="000D7512" w:rsidP="000D7512">
            <w:pPr>
              <w:pStyle w:val="Compact"/>
              <w:spacing w:line="360" w:lineRule="auto"/>
              <w:jc w:val="right"/>
            </w:pPr>
            <w:r>
              <w:rPr>
                <w:sz w:val="18"/>
              </w:rPr>
              <w:t>Min</w:t>
            </w:r>
          </w:p>
        </w:tc>
        <w:tc>
          <w:tcPr>
            <w:tcW w:w="936"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3168"/>
          </w:tcPr>
          <w:p>
            <w:r>
              <w:rPr>
                <w:sz w:val="18"/>
              </w:rPr>
              <w:t>Outcome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Large-volume infusion therapy utilization (G004, ≥500 mL)</w:t>
            </w:r>
          </w:p>
        </w:tc>
        <w:tc>
          <w:tcPr>
            <w:tcW w:type="dxa" w:w="1296"/>
          </w:tcPr>
          <w:p>
            <w:r>
              <w:rPr>
                <w:sz w:val="18"/>
              </w:rPr>
              <w:t>per 100,000</w:t>
            </w:r>
          </w:p>
        </w:tc>
        <w:tc>
          <w:tcPr>
            <w:tcW w:type="dxa" w:w="504"/>
          </w:tcPr>
          <w:p>
            <w:r>
              <w:rPr>
                <w:sz w:val="18"/>
              </w:rPr>
              <w:t>47</w:t>
            </w:r>
          </w:p>
        </w:tc>
        <w:tc>
          <w:tcPr>
            <w:tcW w:type="dxa" w:w="936"/>
          </w:tcPr>
          <w:p>
            <w:r>
              <w:rPr>
                <w:sz w:val="18"/>
              </w:rPr>
              <w:t>8,022.2</w:t>
            </w:r>
          </w:p>
        </w:tc>
        <w:tc>
          <w:tcPr>
            <w:tcW w:type="dxa" w:w="936"/>
          </w:tcPr>
          <w:p>
            <w:r>
              <w:rPr>
                <w:sz w:val="18"/>
              </w:rPr>
              <w:t>2,389.3</w:t>
            </w:r>
          </w:p>
        </w:tc>
        <w:tc>
          <w:tcPr>
            <w:tcW w:type="dxa" w:w="936"/>
          </w:tcPr>
          <w:p>
            <w:r>
              <w:rPr>
                <w:sz w:val="18"/>
              </w:rPr>
              <w:t>4,231.3</w:t>
            </w:r>
          </w:p>
        </w:tc>
        <w:tc>
          <w:tcPr>
            <w:tcW w:type="dxa" w:w="936"/>
          </w:tcPr>
          <w:p>
            <w:r>
              <w:rPr>
                <w:sz w:val="18"/>
              </w:rPr>
              <w:t>7,608.7</w:t>
            </w:r>
          </w:p>
        </w:tc>
        <w:tc>
          <w:tcPr>
            <w:tcW w:type="dxa" w:w="936"/>
          </w:tcPr>
          <w:p>
            <w:r>
              <w:rPr>
                <w:sz w:val="18"/>
              </w:rPr>
              <w:t>13,234.1</w:t>
            </w:r>
          </w:p>
        </w:tc>
      </w:tr>
      <w:tr>
        <w:tc>
          <w:tcPr>
            <w:tcW w:type="dxa" w:w="3168"/>
          </w:tcPr>
          <w:p>
            <w:r>
              <w:rPr>
                <w:sz w:val="18"/>
              </w:rPr>
              <w:t>Exposure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Elderly solo household rate</w:t>
            </w:r>
          </w:p>
        </w:tc>
        <w:tc>
          <w:tcPr>
            <w:tcW w:type="dxa" w:w="1296"/>
          </w:tcPr>
          <w:p>
            <w:r>
              <w:rPr>
                <w:sz w:val="18"/>
              </w:rPr>
              <w:t>%</w:t>
            </w:r>
          </w:p>
        </w:tc>
        <w:tc>
          <w:tcPr>
            <w:tcW w:type="dxa" w:w="504"/>
          </w:tcPr>
          <w:p>
            <w:r>
              <w:rPr>
                <w:sz w:val="18"/>
              </w:rPr>
              <w:t>47</w:t>
            </w:r>
          </w:p>
        </w:tc>
        <w:tc>
          <w:tcPr>
            <w:tcW w:type="dxa" w:w="936"/>
          </w:tcPr>
          <w:p>
            <w:r>
              <w:rPr>
                <w:sz w:val="18"/>
              </w:rPr>
              <w:t>12.6</w:t>
            </w:r>
          </w:p>
        </w:tc>
        <w:tc>
          <w:tcPr>
            <w:tcW w:type="dxa" w:w="936"/>
          </w:tcPr>
          <w:p>
            <w:r>
              <w:rPr>
                <w:sz w:val="18"/>
              </w:rPr>
              <w:t>1.9</w:t>
            </w:r>
          </w:p>
        </w:tc>
        <w:tc>
          <w:tcPr>
            <w:tcW w:type="dxa" w:w="936"/>
          </w:tcPr>
          <w:p>
            <w:r>
              <w:rPr>
                <w:sz w:val="18"/>
              </w:rPr>
              <w:t>9.4</w:t>
            </w:r>
          </w:p>
        </w:tc>
        <w:tc>
          <w:tcPr>
            <w:tcW w:type="dxa" w:w="936"/>
          </w:tcPr>
          <w:p>
            <w:r>
              <w:rPr>
                <w:sz w:val="18"/>
              </w:rPr>
              <w:t>12.3</w:t>
            </w:r>
          </w:p>
        </w:tc>
        <w:tc>
          <w:tcPr>
            <w:tcW w:type="dxa" w:w="936"/>
          </w:tcPr>
          <w:p>
            <w:r>
              <w:rPr>
                <w:sz w:val="18"/>
              </w:rPr>
              <w:t>17.8</w:t>
            </w:r>
          </w:p>
        </w:tc>
      </w:tr>
      <w:tr>
        <w:tc>
          <w:tcPr>
            <w:tcW w:type="dxa" w:w="3168"/>
          </w:tcPr>
          <w:p>
            <w:r>
              <w:rPr>
                <w:sz w:val="18"/>
              </w:rPr>
              <w:t>Alternative exposure (sensitivity)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 of population aged ≥65 living alone</w:t>
            </w:r>
          </w:p>
        </w:tc>
        <w:tc>
          <w:tcPr>
            <w:tcW w:type="dxa" w:w="1296"/>
          </w:tcPr>
          <w:p>
            <w:r>
              <w:rPr>
                <w:sz w:val="18"/>
              </w:rPr>
              <w:t>%</w:t>
            </w:r>
          </w:p>
        </w:tc>
        <w:tc>
          <w:tcPr>
            <w:tcW w:type="dxa" w:w="504"/>
          </w:tcPr>
          <w:p>
            <w:r>
              <w:rPr>
                <w:sz w:val="18"/>
              </w:rPr>
              <w:t>47</w:t>
            </w:r>
          </w:p>
        </w:tc>
        <w:tc>
          <w:tcPr>
            <w:tcW w:type="dxa" w:w="936"/>
          </w:tcPr>
          <w:p>
            <w:r>
              <w:rPr>
                <w:sz w:val="18"/>
              </w:rPr>
              <w:t>17.7</w:t>
            </w:r>
          </w:p>
        </w:tc>
        <w:tc>
          <w:tcPr>
            <w:tcW w:type="dxa" w:w="936"/>
          </w:tcPr>
          <w:p>
            <w:r>
              <w:rPr>
                <w:sz w:val="18"/>
              </w:rPr>
              <w:t>3.1</w:t>
            </w:r>
          </w:p>
        </w:tc>
        <w:tc>
          <w:tcPr>
            <w:tcW w:type="dxa" w:w="936"/>
          </w:tcPr>
          <w:p>
            <w:r>
              <w:rPr>
                <w:sz w:val="18"/>
              </w:rPr>
              <w:t>12.1</w:t>
            </w:r>
          </w:p>
        </w:tc>
        <w:tc>
          <w:tcPr>
            <w:tcW w:type="dxa" w:w="936"/>
          </w:tcPr>
          <w:p>
            <w:r>
              <w:rPr>
                <w:sz w:val="18"/>
              </w:rPr>
              <w:t>17.1</w:t>
            </w:r>
          </w:p>
        </w:tc>
        <w:tc>
          <w:tcPr>
            <w:tcW w:type="dxa" w:w="936"/>
          </w:tcPr>
          <w:p>
            <w:r>
              <w:rPr>
                <w:sz w:val="18"/>
              </w:rPr>
              <w:t>26.1</w:t>
            </w:r>
          </w:p>
        </w:tc>
      </w:tr>
      <w:tr>
        <w:tc>
          <w:tcPr>
            <w:tcW w:type="dxa" w:w="3168"/>
          </w:tcPr>
          <w:p>
            <w:r>
              <w:rPr>
                <w:sz w:val="18"/>
              </w:rPr>
              <w:t>Adjustment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Prefectural ageing rate</w:t>
            </w:r>
          </w:p>
        </w:tc>
        <w:tc>
          <w:tcPr>
            <w:tcW w:type="dxa" w:w="1296"/>
          </w:tcPr>
          <w:p>
            <w:r>
              <w:rPr>
                <w:sz w:val="18"/>
              </w:rPr>
              <w:t>%</w:t>
            </w:r>
          </w:p>
        </w:tc>
        <w:tc>
          <w:tcPr>
            <w:tcW w:type="dxa" w:w="504"/>
          </w:tcPr>
          <w:p>
            <w:r>
              <w:rPr>
                <w:sz w:val="18"/>
              </w:rPr>
              <w:t>47</w:t>
            </w:r>
          </w:p>
        </w:tc>
        <w:tc>
          <w:tcPr>
            <w:tcW w:type="dxa" w:w="936"/>
          </w:tcPr>
          <w:p>
            <w:r>
              <w:rPr>
                <w:sz w:val="18"/>
              </w:rPr>
              <w:t>31.6</w:t>
            </w:r>
          </w:p>
        </w:tc>
        <w:tc>
          <w:tcPr>
            <w:tcW w:type="dxa" w:w="936"/>
          </w:tcPr>
          <w:p>
            <w:r>
              <w:rPr>
                <w:sz w:val="18"/>
              </w:rPr>
              <w:t>3.3</w:t>
            </w:r>
          </w:p>
        </w:tc>
        <w:tc>
          <w:tcPr>
            <w:tcW w:type="dxa" w:w="936"/>
          </w:tcPr>
          <w:p>
            <w:r>
              <w:rPr>
                <w:sz w:val="18"/>
              </w:rPr>
              <w:t>22.8</w:t>
            </w:r>
          </w:p>
        </w:tc>
        <w:tc>
          <w:tcPr>
            <w:tcW w:type="dxa" w:w="936"/>
          </w:tcPr>
          <w:p>
            <w:r>
              <w:rPr>
                <w:sz w:val="18"/>
              </w:rPr>
              <w:t>31.7</w:t>
            </w:r>
          </w:p>
        </w:tc>
        <w:tc>
          <w:tcPr>
            <w:tcW w:type="dxa" w:w="936"/>
          </w:tcPr>
          <w:p>
            <w:r>
              <w:rPr>
                <w:sz w:val="18"/>
              </w:rPr>
              <w:t>39.0</w:t>
            </w:r>
          </w:p>
        </w:tc>
      </w:tr>
      <w:tr>
        <w:tc>
          <w:tcPr>
            <w:tcW w:type="dxa" w:w="3168"/>
          </w:tcPr>
          <w:p>
            <w:r>
              <w:rPr>
                <w:sz w:val="18"/>
              </w:rPr>
              <w:t>General hospital beds</w:t>
            </w:r>
          </w:p>
        </w:tc>
        <w:tc>
          <w:tcPr>
            <w:tcW w:type="dxa" w:w="1296"/>
          </w:tcPr>
          <w:p>
            <w:r>
              <w:rPr>
                <w:sz w:val="18"/>
              </w:rPr>
              <w:t>per 100,000</w:t>
            </w:r>
          </w:p>
        </w:tc>
        <w:tc>
          <w:tcPr>
            <w:tcW w:type="dxa" w:w="504"/>
          </w:tcPr>
          <w:p>
            <w:r>
              <w:rPr>
                <w:sz w:val="18"/>
              </w:rPr>
              <w:t>47</w:t>
            </w:r>
          </w:p>
        </w:tc>
        <w:tc>
          <w:tcPr>
            <w:tcW w:type="dxa" w:w="936"/>
          </w:tcPr>
          <w:p>
            <w:r>
              <w:rPr>
                <w:sz w:val="18"/>
              </w:rPr>
              <w:t>794.2</w:t>
            </w:r>
          </w:p>
        </w:tc>
        <w:tc>
          <w:tcPr>
            <w:tcW w:type="dxa" w:w="936"/>
          </w:tcPr>
          <w:p>
            <w:r>
              <w:rPr>
                <w:sz w:val="18"/>
              </w:rPr>
              <w:t>148.5</w:t>
            </w:r>
          </w:p>
        </w:tc>
        <w:tc>
          <w:tcPr>
            <w:tcW w:type="dxa" w:w="936"/>
          </w:tcPr>
          <w:p>
            <w:r>
              <w:rPr>
                <w:sz w:val="18"/>
              </w:rPr>
              <w:t>508.7</w:t>
            </w:r>
          </w:p>
        </w:tc>
        <w:tc>
          <w:tcPr>
            <w:tcW w:type="dxa" w:w="936"/>
          </w:tcPr>
          <w:p>
            <w:r>
              <w:rPr>
                <w:sz w:val="18"/>
              </w:rPr>
              <w:t>800.3</w:t>
            </w:r>
          </w:p>
        </w:tc>
        <w:tc>
          <w:tcPr>
            <w:tcW w:type="dxa" w:w="936"/>
          </w:tcPr>
          <w:p>
            <w:r>
              <w:rPr>
                <w:sz w:val="18"/>
              </w:rPr>
              <w:t>1,146.5</w:t>
            </w:r>
          </w:p>
        </w:tc>
      </w:tr>
      <w:tr>
        <w:tc>
          <w:tcPr>
            <w:tcW w:type="dxa" w:w="3168"/>
          </w:tcPr>
          <w:p>
            <w:r>
              <w:rPr>
                <w:sz w:val="18"/>
              </w:rPr>
              <w:t>General clinics (sensitivity)</w:t>
            </w:r>
          </w:p>
        </w:tc>
        <w:tc>
          <w:tcPr>
            <w:tcW w:type="dxa" w:w="1296"/>
          </w:tcPr>
          <w:p>
            <w:r>
              <w:rPr>
                <w:sz w:val="18"/>
              </w:rPr>
              <w:t>per 100,000</w:t>
            </w:r>
          </w:p>
        </w:tc>
        <w:tc>
          <w:tcPr>
            <w:tcW w:type="dxa" w:w="504"/>
          </w:tcPr>
          <w:p>
            <w:r>
              <w:rPr>
                <w:sz w:val="18"/>
              </w:rPr>
              <w:t>47</w:t>
            </w:r>
          </w:p>
        </w:tc>
        <w:tc>
          <w:tcPr>
            <w:tcW w:type="dxa" w:w="936"/>
          </w:tcPr>
          <w:p>
            <w:r>
              <w:rPr>
                <w:sz w:val="18"/>
              </w:rPr>
              <w:t>84.5</w:t>
            </w:r>
          </w:p>
        </w:tc>
        <w:tc>
          <w:tcPr>
            <w:tcW w:type="dxa" w:w="936"/>
          </w:tcPr>
          <w:p>
            <w:r>
              <w:rPr>
                <w:sz w:val="18"/>
              </w:rPr>
              <w:t>11.9</w:t>
            </w:r>
          </w:p>
        </w:tc>
        <w:tc>
          <w:tcPr>
            <w:tcW w:type="dxa" w:w="936"/>
          </w:tcPr>
          <w:p>
            <w:r>
              <w:rPr>
                <w:sz w:val="18"/>
              </w:rPr>
              <w:t>61.8</w:t>
            </w:r>
          </w:p>
        </w:tc>
        <w:tc>
          <w:tcPr>
            <w:tcW w:type="dxa" w:w="936"/>
          </w:tcPr>
          <w:p>
            <w:r>
              <w:rPr>
                <w:sz w:val="18"/>
              </w:rPr>
              <w:t>85.9</w:t>
            </w:r>
          </w:p>
        </w:tc>
        <w:tc>
          <w:tcPr>
            <w:tcW w:type="dxa" w:w="936"/>
          </w:tcPr>
          <w:p>
            <w:r>
              <w:rPr>
                <w:sz w:val="18"/>
              </w:rPr>
              <w:t>113.0</w:t>
            </w:r>
          </w:p>
        </w:tc>
      </w:tr>
      <w:tr>
        <w:tc>
          <w:tcPr>
            <w:tcW w:type="dxa" w:w="3168"/>
          </w:tcPr>
          <w:p>
            <w:r>
              <w:rPr>
                <w:sz w:val="18"/>
              </w:rPr>
              <w:t>Climatic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Days with WBGT ≥28°C (official, primary)</w:t>
            </w:r>
          </w:p>
        </w:tc>
        <w:tc>
          <w:tcPr>
            <w:tcW w:type="dxa" w:w="1296"/>
          </w:tcPr>
          <w:p>
            <w:r>
              <w:rPr>
                <w:sz w:val="18"/>
              </w:rPr>
              <w:t>days</w:t>
            </w:r>
          </w:p>
        </w:tc>
        <w:tc>
          <w:tcPr>
            <w:tcW w:type="dxa" w:w="504"/>
          </w:tcPr>
          <w:p>
            <w:r>
              <w:rPr>
                <w:sz w:val="18"/>
              </w:rPr>
              <w:t>47</w:t>
            </w:r>
          </w:p>
        </w:tc>
        <w:tc>
          <w:tcPr>
            <w:tcW w:type="dxa" w:w="936"/>
          </w:tcPr>
          <w:p>
            <w:r>
              <w:rPr>
                <w:sz w:val="18"/>
              </w:rPr>
              <w:t>72.9</w:t>
            </w:r>
          </w:p>
        </w:tc>
        <w:tc>
          <w:tcPr>
            <w:tcW w:type="dxa" w:w="936"/>
          </w:tcPr>
          <w:p>
            <w:r>
              <w:rPr>
                <w:sz w:val="18"/>
              </w:rPr>
              <w:t>14.1</w:t>
            </w:r>
          </w:p>
        </w:tc>
        <w:tc>
          <w:tcPr>
            <w:tcW w:type="dxa" w:w="936"/>
          </w:tcPr>
          <w:p>
            <w:r>
              <w:rPr>
                <w:sz w:val="18"/>
              </w:rPr>
              <w:t>27.3</w:t>
            </w:r>
          </w:p>
        </w:tc>
        <w:tc>
          <w:tcPr>
            <w:tcW w:type="dxa" w:w="936"/>
          </w:tcPr>
          <w:p>
            <w:r>
              <w:rPr>
                <w:sz w:val="18"/>
              </w:rPr>
              <w:t>74.7</w:t>
            </w:r>
          </w:p>
        </w:tc>
        <w:tc>
          <w:tcPr>
            <w:tcW w:type="dxa" w:w="936"/>
          </w:tcPr>
          <w:p>
            <w:r>
              <w:rPr>
                <w:sz w:val="18"/>
              </w:rPr>
              <w:t>112.3</w:t>
            </w:r>
          </w:p>
        </w:tc>
      </w:tr>
      <w:tr>
        <w:tc>
          <w:tcPr>
            <w:tcW w:type="dxa" w:w="3168"/>
          </w:tcPr>
          <w:p>
            <w:r>
              <w:rPr>
                <w:sz w:val="18"/>
              </w:rPr>
              <w:t>Days with WBGT ≥31°C (sensitivity)</w:t>
            </w:r>
          </w:p>
        </w:tc>
        <w:tc>
          <w:tcPr>
            <w:tcW w:type="dxa" w:w="1296"/>
          </w:tcPr>
          <w:p>
            <w:r>
              <w:rPr>
                <w:sz w:val="18"/>
              </w:rPr>
              <w:t>days</w:t>
            </w:r>
          </w:p>
        </w:tc>
        <w:tc>
          <w:tcPr>
            <w:tcW w:type="dxa" w:w="504"/>
          </w:tcPr>
          <w:p>
            <w:r>
              <w:rPr>
                <w:sz w:val="18"/>
              </w:rPr>
              <w:t>47</w:t>
            </w:r>
          </w:p>
        </w:tc>
        <w:tc>
          <w:tcPr>
            <w:tcW w:type="dxa" w:w="936"/>
          </w:tcPr>
          <w:p>
            <w:r>
              <w:rPr>
                <w:sz w:val="18"/>
              </w:rPr>
              <w:t>28.7</w:t>
            </w:r>
          </w:p>
        </w:tc>
        <w:tc>
          <w:tcPr>
            <w:tcW w:type="dxa" w:w="936"/>
          </w:tcPr>
          <w:p>
            <w:r>
              <w:rPr>
                <w:sz w:val="18"/>
              </w:rPr>
              <w:t>10.6</w:t>
            </w:r>
          </w:p>
        </w:tc>
        <w:tc>
          <w:tcPr>
            <w:tcW w:type="dxa" w:w="936"/>
          </w:tcPr>
          <w:p>
            <w:r>
              <w:rPr>
                <w:sz w:val="18"/>
              </w:rPr>
              <w:t>6.0</w:t>
            </w:r>
          </w:p>
        </w:tc>
        <w:tc>
          <w:tcPr>
            <w:tcW w:type="dxa" w:w="936"/>
          </w:tcPr>
          <w:p>
            <w:r>
              <w:rPr>
                <w:sz w:val="18"/>
              </w:rPr>
              <w:t>26.5</w:t>
            </w:r>
          </w:p>
        </w:tc>
        <w:tc>
          <w:tcPr>
            <w:tcW w:type="dxa" w:w="936"/>
          </w:tcPr>
          <w:p>
            <w:r>
              <w:rPr>
                <w:sz w:val="18"/>
              </w:rPr>
              <w:t>61.6</w:t>
            </w:r>
          </w:p>
        </w:tc>
      </w:tr>
      <w:tr>
        <w:tc>
          <w:tcPr>
            <w:tcW w:type="dxa" w:w="3168"/>
          </w:tcPr>
          <w:p>
            <w:r>
              <w:rPr>
                <w:sz w:val="18"/>
              </w:rPr>
              <w:t>Days with WBGT ≥33°C (sensitivity)</w:t>
            </w:r>
          </w:p>
        </w:tc>
        <w:tc>
          <w:tcPr>
            <w:tcW w:type="dxa" w:w="1296"/>
          </w:tcPr>
          <w:p>
            <w:r>
              <w:rPr>
                <w:sz w:val="18"/>
              </w:rPr>
              <w:t>days</w:t>
            </w:r>
          </w:p>
        </w:tc>
        <w:tc>
          <w:tcPr>
            <w:tcW w:type="dxa" w:w="504"/>
          </w:tcPr>
          <w:p>
            <w:r>
              <w:rPr>
                <w:sz w:val="18"/>
              </w:rPr>
              <w:t>47</w:t>
            </w:r>
          </w:p>
        </w:tc>
        <w:tc>
          <w:tcPr>
            <w:tcW w:type="dxa" w:w="936"/>
          </w:tcPr>
          <w:p>
            <w:r>
              <w:rPr>
                <w:sz w:val="18"/>
              </w:rPr>
              <w:t>2.9</w:t>
            </w:r>
          </w:p>
        </w:tc>
        <w:tc>
          <w:tcPr>
            <w:tcW w:type="dxa" w:w="936"/>
          </w:tcPr>
          <w:p>
            <w:r>
              <w:rPr>
                <w:sz w:val="18"/>
              </w:rPr>
              <w:t>2.7</w:t>
            </w:r>
          </w:p>
        </w:tc>
        <w:tc>
          <w:tcPr>
            <w:tcW w:type="dxa" w:w="936"/>
          </w:tcPr>
          <w:p>
            <w:r>
              <w:rPr>
                <w:sz w:val="18"/>
              </w:rPr>
              <w:t>0.0</w:t>
            </w:r>
          </w:p>
        </w:tc>
        <w:tc>
          <w:tcPr>
            <w:tcW w:type="dxa" w:w="936"/>
          </w:tcPr>
          <w:p>
            <w:r>
              <w:rPr>
                <w:sz w:val="18"/>
              </w:rPr>
              <w:t>1.7</w:t>
            </w:r>
          </w:p>
        </w:tc>
        <w:tc>
          <w:tcPr>
            <w:tcW w:type="dxa" w:w="936"/>
          </w:tcPr>
          <w:p>
            <w:r>
              <w:rPr>
                <w:sz w:val="18"/>
              </w:rPr>
              <w:t>10.8</w:t>
            </w:r>
          </w:p>
        </w:tc>
      </w:tr>
      <w:tr>
        <w:tc>
          <w:tcPr>
            <w:tcW w:type="dxa" w:w="3168"/>
          </w:tcPr>
          <w:p>
            <w:r>
              <w:rPr>
                <w:sz w:val="18"/>
              </w:rPr>
              <w:t>Days with maximum temperature ≥35°C (descriptive only)</w:t>
            </w:r>
          </w:p>
        </w:tc>
        <w:tc>
          <w:tcPr>
            <w:tcW w:type="dxa" w:w="1296"/>
          </w:tcPr>
          <w:p>
            <w:r>
              <w:rPr>
                <w:sz w:val="18"/>
              </w:rPr>
              <w:t>days</w:t>
            </w:r>
          </w:p>
        </w:tc>
        <w:tc>
          <w:tcPr>
            <w:tcW w:type="dxa" w:w="504"/>
          </w:tcPr>
          <w:p>
            <w:r>
              <w:rPr>
                <w:sz w:val="18"/>
              </w:rPr>
              <w:t>47</w:t>
            </w:r>
          </w:p>
        </w:tc>
        <w:tc>
          <w:tcPr>
            <w:tcW w:type="dxa" w:w="936"/>
          </w:tcPr>
          <w:p>
            <w:r>
              <w:rPr>
                <w:sz w:val="18"/>
              </w:rPr>
              <w:t>17.9</w:t>
            </w:r>
          </w:p>
        </w:tc>
        <w:tc>
          <w:tcPr>
            <w:tcW w:type="dxa" w:w="936"/>
          </w:tcPr>
          <w:p>
            <w:r>
              <w:rPr>
                <w:sz w:val="18"/>
              </w:rPr>
              <w:t>12.1</w:t>
            </w:r>
          </w:p>
        </w:tc>
        <w:tc>
          <w:tcPr>
            <w:tcW w:type="dxa" w:w="936"/>
          </w:tcPr>
          <w:p>
            <w:r>
              <w:rPr>
                <w:sz w:val="18"/>
              </w:rPr>
              <w:t>0.0</w:t>
            </w:r>
          </w:p>
        </w:tc>
        <w:tc>
          <w:tcPr>
            <w:tcW w:type="dxa" w:w="936"/>
          </w:tcPr>
          <w:p>
            <w:r>
              <w:rPr>
                <w:sz w:val="18"/>
              </w:rPr>
              <w:t>17.0</w:t>
            </w:r>
          </w:p>
        </w:tc>
        <w:tc>
          <w:tcPr>
            <w:tcW w:type="dxa" w:w="936"/>
          </w:tcPr>
          <w:p>
            <w:r>
              <w:rPr>
                <w:sz w:val="18"/>
              </w:rPr>
              <w:t>44.0</w:t>
            </w:r>
          </w:p>
        </w:tc>
      </w:tr>
      <w:tr>
        <w:tc>
          <w:tcPr>
            <w:tcW w:type="dxa" w:w="3168"/>
          </w:tcPr>
          <w:p>
            <w:r>
              <w:rPr>
                <w:sz w:val="18"/>
              </w:rPr>
              <w:t>Covariate (descriptive only)</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Air conditioning prevalence</w:t>
            </w:r>
          </w:p>
        </w:tc>
        <w:tc>
          <w:tcPr>
            <w:tcW w:type="dxa" w:w="1296"/>
          </w:tcPr>
          <w:p>
            <w:r>
              <w:rPr>
                <w:sz w:val="18"/>
              </w:rPr>
              <w:t>%</w:t>
            </w:r>
          </w:p>
        </w:tc>
        <w:tc>
          <w:tcPr>
            <w:tcW w:type="dxa" w:w="504"/>
          </w:tcPr>
          <w:p>
            <w:r>
              <w:rPr>
                <w:sz w:val="18"/>
              </w:rPr>
              <w:t>47</w:t>
            </w:r>
          </w:p>
        </w:tc>
        <w:tc>
          <w:tcPr>
            <w:tcW w:type="dxa" w:w="936"/>
          </w:tcPr>
          <w:p>
            <w:r>
              <w:rPr>
                <w:sz w:val="18"/>
              </w:rPr>
              <w:t>89.7</w:t>
            </w:r>
          </w:p>
        </w:tc>
        <w:tc>
          <w:tcPr>
            <w:tcW w:type="dxa" w:w="936"/>
          </w:tcPr>
          <w:p>
            <w:r>
              <w:rPr>
                <w:sz w:val="18"/>
              </w:rPr>
              <w:t>13.6</w:t>
            </w:r>
          </w:p>
        </w:tc>
        <w:tc>
          <w:tcPr>
            <w:tcW w:type="dxa" w:w="936"/>
          </w:tcPr>
          <w:p>
            <w:r>
              <w:rPr>
                <w:sz w:val="18"/>
              </w:rPr>
              <w:t>26.6</w:t>
            </w:r>
          </w:p>
        </w:tc>
        <w:tc>
          <w:tcPr>
            <w:tcW w:type="dxa" w:w="936"/>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792"/>
        <w:gridCol w:w="1800"/>
        <w:gridCol w:w="432"/>
        <w:gridCol w:w="1368"/>
        <w:gridCol w:w="1368"/>
        <w:gridCol w:w="648"/>
        <w:gridCol w:w="936"/>
        <w:gridCol w:w="792"/>
        <w:gridCol w:w="720"/>
      </w:tblGrid>
      <w:tr>
        <w:tc>
          <w:tcPr>
            <w:tcW w:type="dxa" w:w="792"/>
          </w:tcPr>
          <w:p>
            <w:r>
              <w:rPr>
                <w:b/>
                <w:sz w:val="18"/>
              </w:rPr>
              <w:t>Model</w:t>
            </w:r>
          </w:p>
        </w:tc>
        <w:tc>
          <w:tcPr>
            <w:tcW w:type="dxa" w:w="1800"/>
          </w:tcPr>
          <w:p>
            <w:r>
              <w:rPr>
                <w:b/>
                <w:sz w:val="18"/>
              </w:rPr>
              <w:t>Cumulative adjustment</w:t>
            </w:r>
          </w:p>
        </w:tc>
        <w:tc>
          <w:tcPr>
            <w:tcW w:type="dxa" w:w="432"/>
          </w:tcPr>
          <w:p>
            <w:r>
              <w:rPr>
                <w:b/>
                <w:sz w:val="18"/>
              </w:rPr>
              <w:t>N</w:t>
            </w:r>
          </w:p>
        </w:tc>
        <w:tc>
          <w:tcPr>
            <w:tcW w:type="dxa" w:w="1368"/>
          </w:tcPr>
          <w:p>
            <w:r>
              <w:rPr>
                <w:b/>
                <w:sz w:val="18"/>
              </w:rPr>
              <w:t>Unstd. β (HC3 95% CI)</w:t>
            </w:r>
          </w:p>
        </w:tc>
        <w:tc>
          <w:tcPr>
            <w:tcW w:type="dxa" w:w="1368"/>
          </w:tcPr>
          <w:p>
            <w:r>
              <w:rPr>
                <w:b/>
                <w:sz w:val="18"/>
              </w:rPr>
              <w:t>Std. β (HC3 95% CI)</w:t>
            </w:r>
          </w:p>
        </w:tc>
        <w:tc>
          <w:tcPr>
            <w:tcW w:type="dxa" w:w="648"/>
          </w:tcPr>
          <w:p>
            <w:r>
              <w:rPr>
                <w:b/>
                <w:sz w:val="18"/>
              </w:rPr>
              <w:t>p</w:t>
            </w:r>
          </w:p>
        </w:tc>
        <w:tc>
          <w:tcPr>
            <w:tcW w:type="dxa" w:w="936"/>
          </w:tcPr>
          <w:p>
            <w:r>
              <w:rPr>
                <w:b/>
                <w:sz w:val="18"/>
              </w:rPr>
              <w:t>Exposure partial R²</w:t>
            </w:r>
          </w:p>
        </w:tc>
        <w:tc>
          <w:tcPr>
            <w:tcW w:type="dxa" w:w="792"/>
          </w:tcPr>
          <w:p>
            <w:r>
              <w:rPr>
                <w:b/>
                <w:sz w:val="18"/>
              </w:rPr>
              <w:t>Adjusted R²</w:t>
            </w:r>
          </w:p>
        </w:tc>
        <w:tc>
          <w:tcPr>
            <w:tcW w:type="dxa" w:w="720"/>
          </w:tcPr>
          <w:p>
            <w:r>
              <w:rPr>
                <w:b/>
                <w:sz w:val="18"/>
              </w:rPr>
              <w:t>AICc</w:t>
            </w:r>
          </w:p>
        </w:tc>
      </w:tr>
      <w:tr>
        <w:tc>
          <w:tcPr>
            <w:tcW w:type="dxa" w:w="792"/>
          </w:tcPr>
          <w:p>
            <w:r>
              <w:rPr>
                <w:sz w:val="18"/>
              </w:rPr>
              <w:t>O-A</w:t>
            </w:r>
          </w:p>
        </w:tc>
        <w:tc>
          <w:tcPr>
            <w:tcW w:type="dxa" w:w="1800"/>
          </w:tcPr>
          <w:p>
            <w:r>
              <w:rPr>
                <w:sz w:val="18"/>
              </w:rPr>
              <w:t>Unadjusted</w:t>
            </w:r>
          </w:p>
        </w:tc>
        <w:tc>
          <w:tcPr>
            <w:tcW w:type="dxa" w:w="432"/>
          </w:tcPr>
          <w:p>
            <w:r>
              <w:rPr>
                <w:sz w:val="18"/>
              </w:rPr>
              <w:t>47</w:t>
            </w:r>
          </w:p>
        </w:tc>
        <w:tc>
          <w:tcPr>
            <w:tcW w:type="dxa" w:w="1368"/>
          </w:tcPr>
          <w:p>
            <w:r>
              <w:rPr>
                <w:sz w:val="18"/>
              </w:rPr>
              <w:t>656.2 (326.9, 985.6)</w:t>
            </w:r>
          </w:p>
        </w:tc>
        <w:tc>
          <w:tcPr>
            <w:tcW w:type="dxa" w:w="1368"/>
          </w:tcPr>
          <w:p>
            <w:r>
              <w:rPr>
                <w:sz w:val="18"/>
              </w:rPr>
              <w:t>0.521 (0.260, 0.783)</w:t>
            </w:r>
          </w:p>
        </w:tc>
        <w:tc>
          <w:tcPr>
            <w:tcW w:type="dxa" w:w="648"/>
          </w:tcPr>
          <w:p>
            <w:r>
              <w:rPr>
                <w:sz w:val="18"/>
              </w:rPr>
              <w:t>&lt;0.001</w:t>
            </w:r>
          </w:p>
        </w:tc>
        <w:tc>
          <w:tcPr>
            <w:tcW w:type="dxa" w:w="936"/>
          </w:tcPr>
          <w:p>
            <w:r>
              <w:rPr>
                <w:sz w:val="18"/>
              </w:rPr>
              <w:t>0.272</w:t>
            </w:r>
          </w:p>
        </w:tc>
        <w:tc>
          <w:tcPr>
            <w:tcW w:type="dxa" w:w="792"/>
          </w:tcPr>
          <w:p>
            <w:r>
              <w:rPr>
                <w:sz w:val="18"/>
              </w:rPr>
              <w:t>0.256</w:t>
            </w:r>
          </w:p>
        </w:tc>
        <w:tc>
          <w:tcPr>
            <w:tcW w:type="dxa" w:w="720"/>
          </w:tcPr>
          <w:p>
            <w:r>
              <w:rPr>
                <w:sz w:val="18"/>
              </w:rPr>
              <w:t>853.2</w:t>
            </w:r>
          </w:p>
        </w:tc>
      </w:tr>
      <w:tr>
        <w:tc>
          <w:tcPr>
            <w:tcW w:type="dxa" w:w="792"/>
          </w:tcPr>
          <w:p>
            <w:r>
              <w:rPr>
                <w:sz w:val="18"/>
              </w:rPr>
              <w:t>O-B</w:t>
            </w:r>
          </w:p>
        </w:tc>
        <w:tc>
          <w:tcPr>
            <w:tcW w:type="dxa" w:w="1800"/>
          </w:tcPr>
          <w:p>
            <w:r>
              <w:rPr>
                <w:sz w:val="18"/>
              </w:rPr>
              <w:t>+ ageing rate</w:t>
            </w:r>
          </w:p>
        </w:tc>
        <w:tc>
          <w:tcPr>
            <w:tcW w:type="dxa" w:w="432"/>
          </w:tcPr>
          <w:p>
            <w:r>
              <w:rPr>
                <w:sz w:val="18"/>
              </w:rPr>
              <w:t>47</w:t>
            </w:r>
          </w:p>
        </w:tc>
        <w:tc>
          <w:tcPr>
            <w:tcW w:type="dxa" w:w="1368"/>
          </w:tcPr>
          <w:p>
            <w:r>
              <w:rPr>
                <w:sz w:val="18"/>
              </w:rPr>
              <w:t>306.1 (-71.3, 683.5)</w:t>
            </w:r>
          </w:p>
        </w:tc>
        <w:tc>
          <w:tcPr>
            <w:tcW w:type="dxa" w:w="1368"/>
          </w:tcPr>
          <w:p>
            <w:r>
              <w:rPr>
                <w:sz w:val="18"/>
              </w:rPr>
              <w:t>0.243 (-0.057, 0.543)</w:t>
            </w:r>
          </w:p>
        </w:tc>
        <w:tc>
          <w:tcPr>
            <w:tcW w:type="dxa" w:w="648"/>
          </w:tcPr>
          <w:p>
            <w:r>
              <w:rPr>
                <w:sz w:val="18"/>
              </w:rPr>
              <w:t>0.112</w:t>
            </w:r>
          </w:p>
        </w:tc>
        <w:tc>
          <w:tcPr>
            <w:tcW w:type="dxa" w:w="936"/>
          </w:tcPr>
          <w:p>
            <w:r>
              <w:rPr>
                <w:sz w:val="18"/>
              </w:rPr>
              <w:t>0.056</w:t>
            </w:r>
          </w:p>
        </w:tc>
        <w:tc>
          <w:tcPr>
            <w:tcW w:type="dxa" w:w="792"/>
          </w:tcPr>
          <w:p>
            <w:r>
              <w:rPr>
                <w:sz w:val="18"/>
              </w:rPr>
              <w:t>0.365</w:t>
            </w:r>
          </w:p>
        </w:tc>
        <w:tc>
          <w:tcPr>
            <w:tcW w:type="dxa" w:w="720"/>
          </w:tcPr>
          <w:p>
            <w:r>
              <w:rPr>
                <w:sz w:val="18"/>
              </w:rPr>
              <w:t>847.1</w:t>
            </w:r>
          </w:p>
        </w:tc>
      </w:tr>
      <w:tr>
        <w:tc>
          <w:tcPr>
            <w:tcW w:type="dxa" w:w="792"/>
          </w:tcPr>
          <w:p>
            <w:r>
              <w:rPr>
                <w:sz w:val="18"/>
              </w:rPr>
              <w:t>O-C</w:t>
            </w:r>
          </w:p>
        </w:tc>
        <w:tc>
          <w:tcPr>
            <w:tcW w:type="dxa" w:w="1800"/>
          </w:tcPr>
          <w:p>
            <w:r>
              <w:rPr>
                <w:sz w:val="18"/>
              </w:rPr>
              <w:t>+ ageing rate + hospital beds</w:t>
            </w:r>
          </w:p>
        </w:tc>
        <w:tc>
          <w:tcPr>
            <w:tcW w:type="dxa" w:w="432"/>
          </w:tcPr>
          <w:p>
            <w:r>
              <w:rPr>
                <w:sz w:val="18"/>
              </w:rPr>
              <w:t>47</w:t>
            </w:r>
          </w:p>
        </w:tc>
        <w:tc>
          <w:tcPr>
            <w:tcW w:type="dxa" w:w="1368"/>
          </w:tcPr>
          <w:p>
            <w:r>
              <w:rPr>
                <w:sz w:val="18"/>
              </w:rPr>
              <w:t>94.1 (-302.4, 490.6)</w:t>
            </w:r>
          </w:p>
        </w:tc>
        <w:tc>
          <w:tcPr>
            <w:tcW w:type="dxa" w:w="1368"/>
          </w:tcPr>
          <w:p>
            <w:r>
              <w:rPr>
                <w:sz w:val="18"/>
              </w:rPr>
              <w:t>0.075 (-0.240, 0.390)</w:t>
            </w:r>
          </w:p>
        </w:tc>
        <w:tc>
          <w:tcPr>
            <w:tcW w:type="dxa" w:w="648"/>
          </w:tcPr>
          <w:p>
            <w:r>
              <w:rPr>
                <w:sz w:val="18"/>
              </w:rPr>
              <w:t>0.642</w:t>
            </w:r>
          </w:p>
        </w:tc>
        <w:tc>
          <w:tcPr>
            <w:tcW w:type="dxa" w:w="936"/>
          </w:tcPr>
          <w:p>
            <w:r>
              <w:rPr>
                <w:sz w:val="18"/>
              </w:rPr>
              <w:t>0.004</w:t>
            </w:r>
          </w:p>
        </w:tc>
        <w:tc>
          <w:tcPr>
            <w:tcW w:type="dxa" w:w="792"/>
          </w:tcPr>
          <w:p>
            <w:r>
              <w:rPr>
                <w:sz w:val="18"/>
              </w:rPr>
              <w:t>0.386</w:t>
            </w:r>
          </w:p>
        </w:tc>
        <w:tc>
          <w:tcPr>
            <w:tcW w:type="dxa" w:w="720"/>
          </w:tcPr>
          <w:p>
            <w:r>
              <w:rPr>
                <w:sz w:val="18"/>
              </w:rPr>
              <w:t>846.9</w:t>
            </w:r>
          </w:p>
        </w:tc>
      </w:tr>
      <w:tr>
        <w:tc>
          <w:tcPr>
            <w:tcW w:type="dxa" w:w="792"/>
          </w:tcPr>
          <w:p>
            <w:r>
              <w:rPr>
                <w:sz w:val="18"/>
              </w:rPr>
              <w:t>O-D</w:t>
            </w:r>
          </w:p>
        </w:tc>
        <w:tc>
          <w:tcPr>
            <w:tcW w:type="dxa" w:w="1800"/>
          </w:tcPr>
          <w:p>
            <w:r>
              <w:rPr>
                <w:sz w:val="18"/>
              </w:rPr>
              <w:t>+ ageing rate + hospital beds + WBGT≥28d</w:t>
            </w:r>
          </w:p>
        </w:tc>
        <w:tc>
          <w:tcPr>
            <w:tcW w:type="dxa" w:w="432"/>
          </w:tcPr>
          <w:p>
            <w:r>
              <w:rPr>
                <w:sz w:val="18"/>
              </w:rPr>
              <w:t>47</w:t>
            </w:r>
          </w:p>
        </w:tc>
        <w:tc>
          <w:tcPr>
            <w:tcW w:type="dxa" w:w="1368"/>
          </w:tcPr>
          <w:p>
            <w:r>
              <w:rPr>
                <w:sz w:val="18"/>
              </w:rPr>
              <w:t>-9.4 (-493.9, 475.1)</w:t>
            </w:r>
          </w:p>
        </w:tc>
        <w:tc>
          <w:tcPr>
            <w:tcW w:type="dxa" w:w="1368"/>
          </w:tcPr>
          <w:p>
            <w:r>
              <w:rPr>
                <w:sz w:val="18"/>
              </w:rPr>
              <w:t>-0.007 (-0.392, 0.377)</w:t>
            </w:r>
          </w:p>
        </w:tc>
        <w:tc>
          <w:tcPr>
            <w:tcW w:type="dxa" w:w="648"/>
          </w:tcPr>
          <w:p>
            <w:r>
              <w:rPr>
                <w:sz w:val="18"/>
              </w:rPr>
              <w:t>0.970</w:t>
            </w:r>
          </w:p>
        </w:tc>
        <w:tc>
          <w:tcPr>
            <w:tcW w:type="dxa" w:w="936"/>
          </w:tcPr>
          <w:p>
            <w:r>
              <w:rPr>
                <w:sz w:val="18"/>
              </w:rPr>
              <w:t>&lt;0.001</w:t>
            </w:r>
          </w:p>
        </w:tc>
        <w:tc>
          <w:tcPr>
            <w:tcW w:type="dxa" w:w="792"/>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