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Response to Editor and Reviewers</w:t>
      </w:r>
    </w:p>
    <w:p>
      <w:r>
        <w:t>Manuscript: "Prefecture-Level Older-Adult Solo Household Rate and Large-Volume Infusion Therapy Utilization in Japan: An Ecological Study" (formerly "Are Heat-Health Systems Socially Blind? Social Isolation and Dehydration-Related Healthcare Utilization Across Japan")</w:t>
      </w:r>
    </w:p>
    <w:p>
      <w:r>
        <w:t>Submission ID: 0cd18650-d5db-481f-b00b-bbde3cda74f7</w:t>
      </w:r>
    </w:p>
    <w:p>
      <w:r>
        <w:t>We are grateful to the Editor and both reviewers for a careful, constructive, and rigorous review, and we thank them for the time and expertise they invested in evaluating our manuscript. The manuscript continues to address the same research question as the original submission: whether the prefectural elderly solo household rate is associated with large-volume infusion therapy utilization, and whether such an association is independent of population age structure, healthcare supply, and heat exposure. In direct response to Reviewer 2's central request, we retained the originally submitted exposure (percentage of all households consisting of one person aged ≥65 years) and added prefectural ageing rate to the same model. The exposure coefficient changed from 656.2 (95% CI 326.9–985.6) to 306.1 (95% CI −71.3–683.5), a descriptive attenuation of 53.3%, and the association was no longer statistically significant. Further adjustment for healthcare supply (β = 94.1) and heat exposure attenuated the estimate further, to near zero and reversed in sign (β = −9.4; 95% CI −493.9–475.1; p = 0.970). Using the originally submitted 2020 population denominator, the unadjusted point estimate (β = 723.4) was exactly reproduced, and the same attenuation pattern was observed. We also examined a complementary exposure using the older population as the denominator, which showed no evidence of association with infusion utilization at any stage. These analyses materially changed our conclusion: we no longer report the association as an independent, robust ecological finding. We have revised the Title, Abstract, Introduction, Results, Discussion, and Conclusions accordingly, while keeping the original research question, outcome, and primary exposure unchanged. We believe the manuscript is substantially strengthened as a result of the Editor's and reviewers' comments, and we address every point individually below.</w:t>
      </w:r>
    </w:p>
    <w:p>
      <w:r>
        <w:t>All line numbers below refer to the revised clean manuscript (continuous line numbering) and, where useful, the corresponding numbered subsection (e.g., "Methods §5," "Results §2").</w:t>
      </w:r>
    </w:p>
    <w:p>
      <w:pPr>
        <w:pBdr>
          <w:bottom w:val="single" w:sz="6" w:space="1" w:color="999999"/>
        </w:pBdr>
      </w:pPr>
    </w:p>
    <w:p>
      <w:pPr>
        <w:pStyle w:val="Heading2"/>
      </w:pPr>
      <w:r>
        <w:t>Response to the Editor</w:t>
      </w:r>
    </w:p>
    <w:p>
      <w:r>
        <w:rPr>
          <w:b/>
        </w:rPr>
        <w:t>Comment:</w:t>
      </w:r>
      <w:r>
        <w:t xml:space="preserve"> "We invite you to revise your paper, carefully addressing the comments from the reviewers and the editor. Please ensure the results are accurately reported, any overstated conclusions are rewritten and the limitations of the work fully explained."</w:t>
      </w:r>
    </w:p>
    <w:p>
      <w:r>
        <w:rPr>
          <w:b/>
        </w:rPr>
        <w:t>Response:</w:t>
      </w:r>
      <w:r>
        <w:t xml:space="preserve"> We thank the Editor for this guidance and for the opportunity to revise our manuscript. We agree, and we have rewritten the manuscript so that every claim reflects the revised analysis. Specifically: (1) the title no longer asks "Are Heat-Health Systems Socially Blind?" and no longer implies that a warning system was evaluated (line 1); (2) the Abstract Results and Conclusions report both the unadjusted and adjusted estimates with 95% confidence intervals rather than significance alone (lines 39–55); (3) the outcome is now described throughout as large-volume infusion therapy utilization rather than a dehydration-specific label (Methods §2, lines 105–125); (4) the claim that social factors outperformed climatic indicators, the "socially blind" framing, and the sixfold-stronger comparison have all been removed; (5) the Limitations have been substantially expanded (Discussion, lines 323–360) to include the ecological design, the distinction between living alone and social isolation, the non-specificity of G004, the unavailability of a prefecture-by-age G004 table, the single unusual fiscal year, the width of the adjusted confidence intervals at N=47, residual confounding, prefecture-level climate averaging (including Hokkaido's multi-site aggregation), source-year differences across variables, and the ownership-versus-use limitation of air-conditioning data. We hope these revisions fully address the Editor's concerns, and we thank the Editor again for the clear guidance.</w:t>
      </w:r>
    </w:p>
    <w:p>
      <w:pPr>
        <w:pBdr>
          <w:bottom w:val="single" w:sz="6" w:space="1" w:color="999999"/>
        </w:pBdr>
      </w:pPr>
    </w:p>
    <w:p>
      <w:pPr>
        <w:pStyle w:val="Heading2"/>
      </w:pPr>
      <w:r>
        <w:t>Response to Reviewer 1</w:t>
      </w:r>
    </w:p>
    <w:p>
      <w:r>
        <w:t>Reviewer 1's overall comment: "I think it was an interesting topic… My main concerns are that the relationship between heat exposure and dehydration may not be linear… AC in homes was high but it is unknown if it was used; and it was unknown what other health conditions older adults had that may also be associated with dehydration… I think with more literature in the introduction, additional details in the methods and a toned down 'association' between heat and therapy, this does present an interesting ecological study."</w:t>
      </w:r>
    </w:p>
    <w:p>
      <w:r>
        <w:rPr>
          <w:b/>
        </w:rPr>
        <w:t>Response:</w:t>
      </w:r>
      <w:r>
        <w:t xml:space="preserve"> We thank Reviewer 1 sincerely for this constructive assessment and for the considerable time and care evident in the 35 detailed inline comments. We address every comment below, in order, and we believe the manuscript has improved substantially thanks to this feedback.</w:t>
      </w:r>
    </w:p>
    <w:p>
      <w:pPr>
        <w:pStyle w:val="Heading3"/>
      </w:pPr>
      <w:r>
        <w:t>R1-1 (anchor: "47 Japanese prefectures")</w:t>
      </w:r>
    </w:p>
    <w:p>
      <w:pPr>
        <w:ind w:left="480"/>
      </w:pPr>
      <w:r>
        <w:rPr>
          <w:i/>
        </w:rPr>
        <w:t>"Is this using prefecture level data, or individual data by prefecture? How many individuals does it include as in how many people live in each prefecture?"</w:t>
      </w:r>
    </w:p>
    <w:p>
      <w:r>
        <w:rPr>
          <w:b/>
        </w:rPr>
        <w:t>Response:</w:t>
      </w:r>
      <w:r>
        <w:t xml:space="preserve"> We thank the reviewer for asking us to clarify this fundamental point. This was an ecological analysis of 47 prefectures rather than a study of individual participants; no individual-level data are used or available from NDB Open Data. We have clarified this explicitly at first mention and added the prefectural population range and the total population represented by the denominator data: the 47 prefectures ranged from approximately 0.5 million to 14.1 million in total 2023 population, together representing Japan's total population of approximately 124.4 million (Methods §1, lines 98–101).</w:t>
      </w:r>
    </w:p>
    <w:p>
      <w:pPr>
        <w:pStyle w:val="Heading3"/>
      </w:pPr>
      <w:r>
        <w:t>R1-2 (anchor: "ecological")</w:t>
      </w:r>
    </w:p>
    <w:p>
      <w:pPr>
        <w:ind w:left="480"/>
      </w:pPr>
      <w:r>
        <w:rPr>
          <w:i/>
        </w:rPr>
        <w:t>"Is Community-level social isolation an ecological factor, really?"</w:t>
      </w:r>
    </w:p>
    <w:p>
      <w:r>
        <w:rPr>
          <w:b/>
        </w:rPr>
        <w:t>Response:</w:t>
      </w:r>
      <w:r>
        <w:t xml:space="preserve"> We thank the reviewer for this important and precise observation; we agree this framing was imprecise. We no longer describe the exposure as "social isolation"; the primary exposure is now explicitly described as a prefecture-level living-alone/household-composition indicator, and we distinguish living alone from social isolation throughout the Introduction and Discussion (Introduction, lines 80–84; Discussion, lines 294–301).</w:t>
      </w:r>
    </w:p>
    <w:p>
      <w:pPr>
        <w:pStyle w:val="Heading3"/>
      </w:pPr>
      <w:r>
        <w:t>R1-3 (anchor: "WBGT")</w:t>
      </w:r>
    </w:p>
    <w:p>
      <w:pPr>
        <w:ind w:left="480"/>
      </w:pPr>
      <w:r>
        <w:rPr>
          <w:i/>
        </w:rPr>
        <w:t>"Write in full at first use."</w:t>
      </w:r>
    </w:p>
    <w:p>
      <w:r>
        <w:rPr>
          <w:b/>
        </w:rPr>
        <w:t>Response:</w:t>
      </w:r>
      <w:r>
        <w:t xml:space="preserve"> We thank the reviewer for catching this. "Wet-bulb globe temperature (WBGT)" is now spelled out at first use (Methods §1, line 102).</w:t>
      </w:r>
    </w:p>
    <w:p>
      <w:pPr>
        <w:pStyle w:val="Heading3"/>
      </w:pPr>
      <w:r>
        <w:t>R1-4 (anchor: "limited informal monitoring")</w:t>
      </w:r>
    </w:p>
    <w:p>
      <w:pPr>
        <w:ind w:left="480"/>
      </w:pPr>
      <w:r>
        <w:rPr>
          <w:i/>
        </w:rPr>
        <w:t>"Please explain what is informal monitoring. Monitoring of what?"</w:t>
      </w:r>
    </w:p>
    <w:p>
      <w:r>
        <w:rPr>
          <w:b/>
        </w:rPr>
        <w:t>Response:</w:t>
      </w:r>
      <w:r>
        <w:t xml:space="preserve"> We thank the reviewer for asking us to clarify this. We revised this passage to specify concretely what is meant (e.g., a household member or neighbor noticing signs of heat illness, prompting fluid intake, or encouraging use of cooling), rather than using the unexplained term "informal monitoring" (Introduction/Discussion, revised wording).</w:t>
      </w:r>
    </w:p>
    <w:p>
      <w:pPr>
        <w:pStyle w:val="Heading3"/>
      </w:pPr>
      <w:r>
        <w:t>R1-5 (anchor: reference list at end of sentence)</w:t>
      </w:r>
    </w:p>
    <w:p>
      <w:pPr>
        <w:ind w:left="480"/>
      </w:pPr>
      <w:r>
        <w:rPr>
          <w:i/>
        </w:rPr>
        <w:t>"Would be better to put the references next to the points in the sentence and not all at the end."</w:t>
      </w:r>
    </w:p>
    <w:p>
      <w:r>
        <w:rPr>
          <w:b/>
        </w:rPr>
        <w:t>Response:</w:t>
      </w:r>
      <w:r>
        <w:t xml:space="preserve"> We thank the reviewer for this helpful suggestion and have distributed citations next to the specific claims they support throughout the revised Introduction and Discussion rather than grouping them at sentence end.</w:t>
      </w:r>
    </w:p>
    <w:p>
      <w:pPr>
        <w:pStyle w:val="Heading3"/>
      </w:pPr>
      <w:r>
        <w:t>R1-6 (anchor: "NDB")</w:t>
      </w:r>
    </w:p>
    <w:p>
      <w:pPr>
        <w:ind w:left="480"/>
      </w:pPr>
      <w:r>
        <w:rPr>
          <w:i/>
        </w:rPr>
        <w:t>"Write in full at first use."</w:t>
      </w:r>
    </w:p>
    <w:p>
      <w:r>
        <w:rPr>
          <w:b/>
        </w:rPr>
        <w:t>Response:</w:t>
      </w:r>
      <w:r>
        <w:t xml:space="preserve"> We thank the reviewer for this reminder. "National Database (NDB) Open Data" is now spelled out at first use, in the Abstract (lines 28–29), and consistently thereafter in Methods §2 (lines 106–107).</w:t>
      </w:r>
    </w:p>
    <w:p>
      <w:pPr>
        <w:pStyle w:val="Heading3"/>
      </w:pPr>
      <w:r>
        <w:t>R1-7 (anchor: "2023")</w:t>
      </w:r>
    </w:p>
    <w:p>
      <w:pPr>
        <w:ind w:left="480"/>
      </w:pPr>
      <w:r>
        <w:rPr>
          <w:i/>
        </w:rPr>
        <w:t>"Is one year of data sufficient? What about year-on-year variability of environmental factors?"</w:t>
      </w:r>
    </w:p>
    <w:p>
      <w:r>
        <w:rPr>
          <w:b/>
        </w:rPr>
        <w:t>Response:</w:t>
      </w:r>
      <w:r>
        <w:t xml:space="preserve"> We thank the reviewer for raising this important limitation; we agree, and we now state explicitly that 2023 was an unusually hot summer and that findings from a single fiscal year may not generalize to other years (Methods §1, lines 101–104; Discussion Limitations, lines 329–331).</w:t>
      </w:r>
    </w:p>
    <w:p>
      <w:pPr>
        <w:pStyle w:val="Heading3"/>
      </w:pPr>
      <w:r>
        <w:t>R1-8 (anchor: "measured at government meteorological stations")</w:t>
      </w:r>
    </w:p>
    <w:p>
      <w:pPr>
        <w:ind w:left="480"/>
      </w:pPr>
      <w:r>
        <w:rPr>
          <w:i/>
        </w:rPr>
        <w:t>"How were they measured? By whom?"</w:t>
      </w:r>
    </w:p>
    <w:p>
      <w:r>
        <w:rPr>
          <w:b/>
        </w:rPr>
        <w:t>Response:</w:t>
      </w:r>
      <w:r>
        <w:t xml:space="preserve"> We thank the reviewer for asking us to clarify this. We now specify that heat exposure is based on official Ministry of the Environment WBGT monitoring-site observations (Methods §4, lines 136–139), replacing the prior unclear phrasing.</w:t>
      </w:r>
    </w:p>
    <w:p>
      <w:pPr>
        <w:pStyle w:val="Heading3"/>
      </w:pPr>
      <w:r>
        <w:t>R1-9 (anchor: "government meteorological stations")</w:t>
      </w:r>
    </w:p>
    <w:p>
      <w:pPr>
        <w:ind w:left="480"/>
      </w:pPr>
      <w:r>
        <w:rPr>
          <w:i/>
        </w:rPr>
        <w:t>"Is this the correction interpretation?" [sic]</w:t>
      </w:r>
    </w:p>
    <w:p>
      <w:r>
        <w:rPr>
          <w:b/>
        </w:rPr>
        <w:t>Response:</w:t>
      </w:r>
      <w:r>
        <w:t xml:space="preserve"> We thank the reviewer for flagging this unclear wording. We revised this sentence for clarity and to correctly attribute the data source (Ministry of the Environment WBGT network rather than JMA temperature stations, for the heat-exposure variable) (Methods §4, lines 136–139).</w:t>
      </w:r>
    </w:p>
    <w:p>
      <w:pPr>
        <w:pStyle w:val="Heading3"/>
      </w:pPr>
      <w:r>
        <w:t>R1-10 (anchor: "summer season (June–September 2023)")</w:t>
      </w:r>
    </w:p>
    <w:p>
      <w:pPr>
        <w:ind w:left="480"/>
      </w:pPr>
      <w:r>
        <w:rPr>
          <w:i/>
        </w:rPr>
        <w:t>"Was this summer a typical summer? Not hotter than normal or cooler than normal? How do you know that?"</w:t>
      </w:r>
    </w:p>
    <w:p>
      <w:r>
        <w:rPr>
          <w:b/>
        </w:rPr>
        <w:t>Response:</w:t>
      </w:r>
      <w:r>
        <w:t xml:space="preserve"> We thank the reviewer for this important point; we now state explicitly in the Limitations that 2023 was an atypically hot summer and that this limits generalizability (Methods §1, lines 101–104; Discussion Limitations, lines 329–331).</w:t>
      </w:r>
    </w:p>
    <w:p>
      <w:pPr>
        <w:pStyle w:val="Heading3"/>
      </w:pPr>
      <w:r>
        <w:t>R1-11 (anchor: heatwave-day definition sentence)</w:t>
      </w:r>
    </w:p>
    <w:p>
      <w:pPr>
        <w:ind w:left="480"/>
      </w:pPr>
      <w:r>
        <w:rPr>
          <w:i/>
        </w:rPr>
        <w:t>"Is this an appropriate definition of heatwave for Japan? Is this the Japan Met Agency definition? If not, why not use their definition?"</w:t>
      </w:r>
    </w:p>
    <w:p>
      <w:r>
        <w:rPr>
          <w:b/>
        </w:rPr>
        <w:t>Response:</w:t>
      </w:r>
      <w:r>
        <w:t xml:space="preserve"> We thank the reviewer for this valuable and well-founded suggestion. We have replaced the original ad hoc "heatwave days" (maximum temperature ≥35°C) variable with official Ministry of the Environment WBGT-based metrics (days with daily maximum WBGT ≥28/31/33°C) as the prespecified primary and sensitivity heat-adjustment variables (Methods §4, lines 140–146). The former "heatwave days" variable is retained only as a descriptive, non-adjustment statistic in Table 1 for comparison with the original submission, and we no longer use the term "heatwave days" for the primary analysis.</w:t>
      </w:r>
    </w:p>
    <w:p>
      <w:pPr>
        <w:pStyle w:val="Heading3"/>
      </w:pPr>
      <w:r>
        <w:t>R1-12 (anchor: "Patel et al. 2013; Liljegren et al. 2008")</w:t>
      </w:r>
    </w:p>
    <w:p>
      <w:pPr>
        <w:ind w:left="480"/>
      </w:pPr>
      <w:r>
        <w:rPr>
          <w:i/>
        </w:rPr>
        <w:t>"What are these references for?"</w:t>
      </w:r>
    </w:p>
    <w:p>
      <w:r>
        <w:rPr>
          <w:b/>
        </w:rPr>
        <w:t>Response:</w:t>
      </w:r>
      <w:r>
        <w:t xml:space="preserve"> We thank the reviewer for this question. These citations, which supported the original simplified WBGT approximation formula, have been removed along with that formula, since we now use official Ministry of the Environment WBGT data (Methods §4, lines 136–139).</w:t>
      </w:r>
    </w:p>
    <w:p>
      <w:pPr>
        <w:pStyle w:val="Heading3"/>
      </w:pPr>
      <w:r>
        <w:t>R1-13 (anchor: "rapid-change days" definition)</w:t>
      </w:r>
    </w:p>
    <w:p>
      <w:pPr>
        <w:ind w:left="480"/>
      </w:pPr>
      <w:r>
        <w:rPr>
          <w:i/>
        </w:rPr>
        <w:t>"Is there a reference for this choice of variable?"</w:t>
      </w:r>
    </w:p>
    <w:p>
      <w:r>
        <w:rPr>
          <w:b/>
        </w:rPr>
        <w:t>Response:</w:t>
      </w:r>
      <w:r>
        <w:t xml:space="preserve"> We thank the reviewer for this question. The "rapid-change days" variable has been removed from the primary analysis in this revision; our climate variables are now limited to the prespecified WBGT threshold and cumulative-excess metrics described in Methods §4 (lines 135–146).</w:t>
      </w:r>
    </w:p>
    <w:p>
      <w:pPr>
        <w:pStyle w:val="Heading3"/>
      </w:pPr>
      <w:r>
        <w:t>R1-14 (anchor: air-conditioning prevalence sentence)</w:t>
      </w:r>
    </w:p>
    <w:p>
      <w:pPr>
        <w:ind w:left="480"/>
      </w:pPr>
      <w:r>
        <w:rPr>
          <w:i/>
        </w:rPr>
        <w:t>"Was this also at prefecture level?"</w:t>
      </w:r>
    </w:p>
    <w:p>
      <w:r>
        <w:rPr>
          <w:b/>
        </w:rPr>
        <w:t>Response:</w:t>
      </w:r>
      <w:r>
        <w:t xml:space="preserve"> We thank the reviewer for this question. Yes; air-conditioning prevalence (2014 survey) is prefecture-level, as now clarified in Methods §5 (lines 157–160), though this variable is retained only as background/descriptive context and is not part of the primary O-A–O-D models (Discussion Limitations, lines 349–354).</w:t>
      </w:r>
    </w:p>
    <w:p>
      <w:pPr>
        <w:pStyle w:val="Heading3"/>
      </w:pPr>
      <w:r>
        <w:t>R1-15 (anchor: "Aging rate")</w:t>
      </w:r>
    </w:p>
    <w:p>
      <w:pPr>
        <w:ind w:left="480"/>
      </w:pPr>
      <w:r>
        <w:rPr>
          <w:i/>
        </w:rPr>
        <w:t>"Do you mean 'Age'?"</w:t>
      </w:r>
    </w:p>
    <w:p>
      <w:r>
        <w:rPr>
          <w:b/>
        </w:rPr>
        <w:t>Response:</w:t>
      </w:r>
      <w:r>
        <w:t xml:space="preserve"> We thank the reviewer for asking us to clarify this. We mean the prefectural ageing rate, i.e., the percentage of the population aged ≥65 years. This variable, unavailable in the original submission, is now included as a prespecified adjustment variable and precisely defined (Methods §5, lines 151–153).</w:t>
      </w:r>
    </w:p>
    <w:p>
      <w:pPr>
        <w:pStyle w:val="Heading3"/>
      </w:pPr>
      <w:r>
        <w:t>R1-16 (anchor: "simple linear regression with infusion therapy utilization as the outcome")</w:t>
      </w:r>
    </w:p>
    <w:p>
      <w:pPr>
        <w:ind w:left="480"/>
      </w:pPr>
      <w:r>
        <w:rPr>
          <w:i/>
        </w:rPr>
        <w:t>"Are there any previous studies that have done this and found a potential relationship between ecological predictors and infusion therapy use? Is there an existing exposure response function? What justified the use of linear regression? Often there is a lag between heat exposure and health outcome. Why was this not taken into consideration here? A simple linear regression may not suffice."</w:t>
      </w:r>
    </w:p>
    <w:p>
      <w:r>
        <w:rPr>
          <w:b/>
        </w:rPr>
        <w:t>Response:</w:t>
      </w:r>
      <w:r>
        <w:t xml:space="preserve"> We thank the reviewer for this thoughtful and detailed comment. We found no previous prefecture-level study establishing an exposure-response function between heat exposure (or living-alone indicators) and G004 infusion utilization; we therefore used a linear model as an interpretable first-order ecological specification and formally tested departures from linearity, rather than assuming linearity a priori. We added formal nonlinearity tests (quadratic term and natural cubic spline for the primary exposure) in the fully adjusted model; neither improved fit over the linear specification (Methods §6, lines 181–183; Results §4, lines 236–240). We acknowledge in the Limitations that our design is cross-sectional and cannot incorporate exposure-response lags, and we note this explicitly as an unaddressed limitation for future longitudinal work (Discussion, lines 361–364).</w:t>
      </w:r>
    </w:p>
    <w:p>
      <w:pPr>
        <w:pStyle w:val="Heading3"/>
      </w:pPr>
      <w:r>
        <w:t>R1-17 (anchor: "This approach estimated policy-interpretable population-level associations rather than a predictive multivariable model.")</w:t>
      </w:r>
    </w:p>
    <w:p>
      <w:pPr>
        <w:ind w:left="480"/>
      </w:pPr>
      <w:r>
        <w:rPr>
          <w:i/>
        </w:rPr>
        <w:t>"Why is the former more useful than the latter?"</w:t>
      </w:r>
    </w:p>
    <w:p>
      <w:r>
        <w:rPr>
          <w:b/>
        </w:rPr>
        <w:t>Response:</w:t>
      </w:r>
      <w:r>
        <w:t xml:space="preserve"> We thank the reviewer for this pointed question. This sentence and its underlying justification (avoiding multivariable adjustment because of collinearity) have been removed. We now explicitly state that we did not use multicollinearity as a reason to avoid adjustment, and we report cumulative multivariable models with VIFs for every covariate (Methods §6, lines 165–167; Table 2).</w:t>
      </w:r>
    </w:p>
    <w:p>
      <w:pPr>
        <w:pStyle w:val="Heading3"/>
      </w:pPr>
      <w:r>
        <w:t>R1-18 (anchor: "4/N (N = 47 = 0.085)")</w:t>
      </w:r>
    </w:p>
    <w:p>
      <w:pPr>
        <w:ind w:left="480"/>
      </w:pPr>
      <w:r>
        <w:rPr>
          <w:i/>
        </w:rPr>
        <w:t>"Please explain what is N and what these numbers mean, and how can 47 equal 0.085?"</w:t>
      </w:r>
    </w:p>
    <w:p>
      <w:r>
        <w:rPr>
          <w:b/>
        </w:rPr>
        <w:t>Response:</w:t>
      </w:r>
      <w:r>
        <w:t xml:space="preserve"> We thank the reviewer for pointing out this confusing wording. We revised this sentence for clarity: N is the number of prefectures (47), and the Cook's distance influence threshold is conventionally set at 4/N (i.e., 4 divided by 47 ≈ 0.085), not "N = 0.085." The corrected wording appears in the Results/Online Resource 1 description of influence diagnostics.</w:t>
      </w:r>
    </w:p>
    <w:p>
      <w:pPr>
        <w:pStyle w:val="Heading3"/>
      </w:pPr>
      <w:r>
        <w:t>R1-19 (anchor: "adjusted")</w:t>
      </w:r>
    </w:p>
    <w:p>
      <w:pPr>
        <w:ind w:left="480"/>
      </w:pPr>
      <w:r>
        <w:rPr>
          <w:i/>
        </w:rPr>
        <w:t>"What were the models adjusted for please?"</w:t>
      </w:r>
    </w:p>
    <w:p>
      <w:r>
        <w:rPr>
          <w:b/>
        </w:rPr>
        <w:t>Response:</w:t>
      </w:r>
      <w:r>
        <w:t xml:space="preserve"> We thank the reviewer for this question. This is now stated explicitly and cumulatively for every model: O-A (exposure alone), O-B (+ ageing rate), O-C (+ ageing rate + hospital beds), O-D (+ ageing rate + hospital beds + WBGT ≥28°C days) (Methods §6, lines 162–165; Table 2).</w:t>
      </w:r>
    </w:p>
    <w:p>
      <w:pPr>
        <w:pStyle w:val="Heading3"/>
      </w:pPr>
      <w:r>
        <w:t>R1-20 (anchor: "12.6 ±")</w:t>
      </w:r>
    </w:p>
    <w:p>
      <w:pPr>
        <w:ind w:left="480"/>
      </w:pPr>
      <w:r>
        <w:rPr>
          <w:i/>
        </w:rPr>
        <w:t>"Does this mean 12.6 per 100 000? Please be specific to ensure this is a rate and not just a number."</w:t>
      </w:r>
    </w:p>
    <w:p>
      <w:r>
        <w:rPr>
          <w:b/>
        </w:rPr>
        <w:t>Response:</w:t>
      </w:r>
      <w:r>
        <w:t xml:space="preserve"> We thank the reviewer for catching this ambiguity. Table 1 now specifies units for every variable explicitly (e.g., "%" for the exposure, "per 100,000" for the outcome) (Table 1).</w:t>
      </w:r>
    </w:p>
    <w:p>
      <w:pPr>
        <w:pStyle w:val="Heading3"/>
      </w:pPr>
      <w:r>
        <w:t>R1-21 (anchor: "17.9")</w:t>
      </w:r>
    </w:p>
    <w:p>
      <w:pPr>
        <w:ind w:left="480"/>
      </w:pPr>
      <w:r>
        <w:rPr>
          <w:i/>
        </w:rPr>
        <w:t>"17 days in how many days?"</w:t>
      </w:r>
    </w:p>
    <w:p>
      <w:r>
        <w:rPr>
          <w:b/>
        </w:rPr>
        <w:t>Response:</w:t>
      </w:r>
      <w:r>
        <w:t xml:space="preserve"> We thank the reviewer for this question. The original "heatwave days" variable (out of a ~122-day June–September period) has been replaced by official WBGT threshold-day counts as the primary heat-adjustment measure; the original variable is retained only descriptively (Methods §4, lines 143–146; Table 1).</w:t>
      </w:r>
    </w:p>
    <w:p>
      <w:pPr>
        <w:pStyle w:val="Heading3"/>
      </w:pPr>
      <w:r>
        <w:t>R1-22 (anchor: "23.2")</w:t>
      </w:r>
    </w:p>
    <w:p>
      <w:pPr>
        <w:ind w:left="480"/>
      </w:pPr>
      <w:r>
        <w:rPr>
          <w:i/>
        </w:rPr>
        <w:t>"This is very cool."</w:t>
      </w:r>
    </w:p>
    <w:p>
      <w:r>
        <w:rPr>
          <w:b/>
        </w:rPr>
        <w:t>Response:</w:t>
      </w:r>
      <w:r>
        <w:t xml:space="preserve"> We thank the reviewer for this observation. This comment referred to the original simplified WBGT approximation, which we have replaced with official Ministry of the Environment WBGT observations (Methods §4, lines 136–139); the revised summary statistics are reported in Table 1.</w:t>
      </w:r>
    </w:p>
    <w:p>
      <w:pPr>
        <w:pStyle w:val="Heading3"/>
      </w:pPr>
      <w:r>
        <w:t>R1-23 (anchor: "89.7")</w:t>
      </w:r>
    </w:p>
    <w:p>
      <w:pPr>
        <w:ind w:left="480"/>
      </w:pPr>
      <w:r>
        <w:rPr>
          <w:i/>
        </w:rPr>
        <w:t>"This is a very high AC use."</w:t>
      </w:r>
    </w:p>
    <w:p>
      <w:r>
        <w:rPr>
          <w:b/>
        </w:rPr>
        <w:t>Response:</w:t>
      </w:r>
      <w:r>
        <w:t xml:space="preserve"> We thank the reviewer for this observation. Air-conditioning prevalence (2014 survey, background variable only, not part of the primary adjusted models) is discussed in the Limitations with the caveat that ownership does not establish use (Discussion, lines 349–354).</w:t>
      </w:r>
    </w:p>
    <w:p>
      <w:pPr>
        <w:pStyle w:val="Heading3"/>
      </w:pPr>
      <w:r>
        <w:t>R1-24 (anchor: "Heat-health surveillance has traditionally focused on where heat occurs…")</w:t>
      </w:r>
    </w:p>
    <w:p>
      <w:pPr>
        <w:ind w:left="480"/>
      </w:pPr>
      <w:r>
        <w:rPr>
          <w:i/>
        </w:rPr>
        <w:t>"I concur with this finding, as do many heat physiologists."</w:t>
      </w:r>
    </w:p>
    <w:p>
      <w:r>
        <w:rPr>
          <w:b/>
        </w:rPr>
        <w:t>Response:</w:t>
      </w:r>
      <w:r>
        <w:t xml:space="preserve"> We are grateful to the reviewer for this supportive and encouraging comment. We note that our revised findings qualify the original framing considerably (see response to R2 comments 1–5); the Discussion now emphasizes that any social-vulnerability indicator proposed for surveillance must first be shown to carry information beyond population age structure (Discussion, lines 311–317).</w:t>
      </w:r>
    </w:p>
    <w:p>
      <w:pPr>
        <w:pStyle w:val="Heading3"/>
      </w:pPr>
      <w:r>
        <w:t>R1-25 (anchor: "elderly solo household rate was robustly associated with infusion therapy utilization")</w:t>
      </w:r>
    </w:p>
    <w:p>
      <w:pPr>
        <w:ind w:left="480"/>
      </w:pPr>
      <w:r>
        <w:rPr>
          <w:i/>
        </w:rPr>
        <w:t>"This finding should be toned down. AC was likely available in almost all of the dwellings of these individuals… Dehydration is not uncommon in older adults who may not drink water as often as people of other ages. This should be considered and discussed in the context of existing literature."</w:t>
      </w:r>
    </w:p>
    <w:p>
      <w:r>
        <w:rPr>
          <w:b/>
        </w:rPr>
        <w:t>Response:</w:t>
      </w:r>
      <w:r>
        <w:t xml:space="preserve"> We thank the reviewer for this important and constructive comment; we agree, and this finding no longer stands as originally stated. The revised Results (§2, lines 210–225) show that the association was substantially attenuated by ageing-rate adjustment and became statistically non-robust after further adjustment. We retain a restrained discussion of physiological mechanisms (reduced thirst perception, thermoregulation) as background context (Discussion, lines 281–286) without claiming a robust independent living-alone effect.</w:t>
      </w:r>
    </w:p>
    <w:p>
      <w:pPr>
        <w:pStyle w:val="Heading3"/>
      </w:pPr>
      <w:r>
        <w:t>R1-26 (anchor: "use air conditioning")</w:t>
      </w:r>
    </w:p>
    <w:p>
      <w:pPr>
        <w:ind w:left="480"/>
      </w:pPr>
      <w:r>
        <w:rPr>
          <w:i/>
        </w:rPr>
        <w:t>"So do they have AC but not turn it on?"</w:t>
      </w:r>
    </w:p>
    <w:p>
      <w:r>
        <w:rPr>
          <w:b/>
        </w:rPr>
        <w:t>Response:</w:t>
      </w:r>
      <w:r>
        <w:t xml:space="preserve"> We thank the reviewer for this astute observation. We cannot distinguish ownership from use with these data; this is now stated explicitly as the final limitation in the Discussion (lines 349–354).</w:t>
      </w:r>
    </w:p>
    <w:p>
      <w:pPr>
        <w:pStyle w:val="Heading3"/>
      </w:pPr>
      <w:r>
        <w:t>R1-27 (anchor: "outreach and resource allocation")</w:t>
      </w:r>
    </w:p>
    <w:p>
      <w:pPr>
        <w:ind w:left="480"/>
      </w:pPr>
      <w:r>
        <w:rPr>
          <w:i/>
        </w:rPr>
        <w:t>"Is this by identifying which of the prefectures house the most number of socially isolated individuals?"</w:t>
      </w:r>
    </w:p>
    <w:p>
      <w:r>
        <w:rPr>
          <w:b/>
        </w:rPr>
        <w:t>Response:</w:t>
      </w:r>
      <w:r>
        <w:t xml:space="preserve"> We thank the reviewer for this important point. The original policy recommendation to prioritize outreach based on this indicator has been removed from the Conclusions, since the underlying association was not robust to adjustment (Conclusions, lines 363–380).</w:t>
      </w:r>
    </w:p>
    <w:p>
      <w:pPr>
        <w:pStyle w:val="Heading3"/>
      </w:pPr>
      <w:r>
        <w:t>R1-28 (anchor: "Infusion therapy is not heat-specific")</w:t>
      </w:r>
    </w:p>
    <w:p>
      <w:pPr>
        <w:ind w:left="480"/>
      </w:pPr>
      <w:r>
        <w:rPr>
          <w:i/>
        </w:rPr>
        <w:t>"Besides dehydration from heat exposure, what are the other reasons or medical conditions for infusion therapy? These should be discussed."</w:t>
      </w:r>
    </w:p>
    <w:p>
      <w:r>
        <w:rPr>
          <w:b/>
        </w:rPr>
        <w:t>Response:</w:t>
      </w:r>
      <w:r>
        <w:t xml:space="preserve"> We thank the reviewer for this valuable suggestion. We have expanded this point: G004 large-volume infusion is used for volume repletion across a range of clinical contexts (e.g., perioperative fluid management, gastrointestinal illness, infections, general supportive care), not exclusively heat-related dehydration, and we no longer use a dehydration-specific outcome label (Methods §2, lines 108–111; Discussion, lines 323–326).</w:t>
      </w:r>
    </w:p>
    <w:p>
      <w:pPr>
        <w:pStyle w:val="Heading3"/>
      </w:pPr>
      <w:r>
        <w:t>R1-29 (anchor: "cooling support")</w:t>
      </w:r>
    </w:p>
    <w:p>
      <w:pPr>
        <w:ind w:left="480"/>
      </w:pPr>
      <w:r>
        <w:rPr>
          <w:i/>
        </w:rPr>
        <w:t>"Do you mean turn on AC? Can socially isolated people afford to use AC?"</w:t>
      </w:r>
    </w:p>
    <w:p>
      <w:r>
        <w:rPr>
          <w:b/>
        </w:rPr>
        <w:t>Response:</w:t>
      </w:r>
      <w:r>
        <w:t xml:space="preserve"> We thank the reviewer for this thoughtful point. We have removed the specific policy recommendation referencing "cooling support" as a prescribed action, given that the underlying association is no longer supported after adjustment (Conclusions, lines 363–380).</w:t>
      </w:r>
    </w:p>
    <w:p>
      <w:pPr>
        <w:pStyle w:val="Heading3"/>
      </w:pPr>
      <w:r>
        <w:t>R1-30 (anchor: "causes")</w:t>
      </w:r>
    </w:p>
    <w:p>
      <w:pPr>
        <w:ind w:left="480"/>
      </w:pPr>
      <w:r>
        <w:rPr>
          <w:i/>
        </w:rPr>
        <w:t>"Such as, please give examples."</w:t>
      </w:r>
    </w:p>
    <w:p>
      <w:r>
        <w:rPr>
          <w:b/>
        </w:rPr>
        <w:t>Response:</w:t>
      </w:r>
      <w:r>
        <w:t xml:space="preserve"> We thank the reviewer for this request; it is addressed via the expanded discussion of non-heat-related indications for G004 infusion therapy (see R1-28 response above).</w:t>
      </w:r>
    </w:p>
    <w:p>
      <w:pPr>
        <w:pStyle w:val="Heading3"/>
      </w:pPr>
      <w:r>
        <w:t>R1-31 (anchor: "Sixth, unmeasured confounding by socioeconomic status, healthcare access, chronic disease, medication use, housing, and urban heat islands may remain.")</w:t>
      </w:r>
    </w:p>
    <w:p>
      <w:pPr>
        <w:ind w:left="480"/>
      </w:pPr>
      <w:r>
        <w:rPr>
          <w:i/>
        </w:rPr>
        <w:t>"Were none of these data available at prefecture level? That is a real pity as they would have enhanced the realities of the situation."</w:t>
      </w:r>
    </w:p>
    <w:p>
      <w:r>
        <w:rPr>
          <w:b/>
        </w:rPr>
        <w:t>Response:</w:t>
      </w:r>
      <w:r>
        <w:t xml:space="preserve"> We thank the reviewer for this thoughtful comment. Healthcare access is now addressed directly via the healthcare-supply adjustment (general hospital beds and clinics per 100,000; Methods §5, lines 153–156; Results §2, lines 220–222). Socioeconomic status, chronic disease prevalence, medication use, housing, and urban-heat-island indicators were not available at prefecture level in a form suitable for this analysis and remain listed as limitations (Discussion, lines 333–337).</w:t>
      </w:r>
    </w:p>
    <w:p>
      <w:pPr>
        <w:pStyle w:val="Heading3"/>
      </w:pPr>
      <w:r>
        <w:t>R1-32 (anchor: "References")</w:t>
      </w:r>
    </w:p>
    <w:p>
      <w:pPr>
        <w:ind w:left="480"/>
      </w:pPr>
      <w:r>
        <w:rPr>
          <w:i/>
        </w:rPr>
        <w:t>"References should be checked for correct DOIs."</w:t>
      </w:r>
    </w:p>
    <w:p>
      <w:r>
        <w:rPr>
          <w:b/>
        </w:rPr>
        <w:t>Response:</w:t>
      </w:r>
      <w:r>
        <w:t xml:space="preserve"> We thank the reviewer for this important request. We conducted a full reference/DOI verification pass against CrossRef for every DOI-bearing citation. In addition to the Miyatake et al. (2012) DOI flagged by the reviewer (addressed in the next item), this pass identified and corrected four further incorrect DOIs (Bouchama and Knochel 2002; Farbotko and Waitt 2011; Naughton et al. 2002; Harlan et al. 2013) and one DOI that resolved but pointed to an unrelated article (Conti et al. 2005). All corrected DOIs now resolve to the exact cited article.</w:t>
      </w:r>
    </w:p>
    <w:p>
      <w:pPr>
        <w:pStyle w:val="Heading3"/>
      </w:pPr>
      <w:r>
        <w:t>R1-33 (anchor: Miyatake DOI)</w:t>
      </w:r>
    </w:p>
    <w:p>
      <w:pPr>
        <w:ind w:left="480"/>
      </w:pPr>
      <w:r>
        <w:rPr>
          <w:i/>
        </w:rPr>
        <w:t>"Wrong DOI… doi: 10.1007/s12199-011-0221-2."</w:t>
      </w:r>
    </w:p>
    <w:p>
      <w:r>
        <w:rPr>
          <w:b/>
        </w:rPr>
        <w:t>Response:</w:t>
      </w:r>
      <w:r>
        <w:t xml:space="preserve"> We thank the reviewer for identifying this error. Corrected exactly as specified; the reference list now reads doi:10.1007/s12199-011-0221-2 (References, line 491).</w:t>
      </w:r>
    </w:p>
    <w:p>
      <w:pPr>
        <w:pStyle w:val="Heading3"/>
      </w:pPr>
      <w:r>
        <w:t>R1-34 (anchor: "Table")</w:t>
      </w:r>
    </w:p>
    <w:p>
      <w:pPr>
        <w:ind w:left="480"/>
      </w:pPr>
      <w:r>
        <w:rPr>
          <w:i/>
        </w:rPr>
        <w:t>"These is no need for three decimal places in this type of study." [sic]</w:t>
      </w:r>
    </w:p>
    <w:p>
      <w:r>
        <w:rPr>
          <w:b/>
        </w:rPr>
        <w:t>Response:</w:t>
      </w:r>
      <w:r>
        <w:t xml:space="preserve"> We thank the reviewer for this practical suggestion; we agree. Tables now use restrained decimal precision appropriate for N=47 (e.g., one decimal place for unstandardized coefficients, three for standardized coefficients and R², consistent with conventional reporting) (Table 1; Table 2).</w:t>
      </w:r>
    </w:p>
    <w:p>
      <w:pPr>
        <w:pStyle w:val="Heading3"/>
      </w:pPr>
      <w:r>
        <w:t>R1-35 (anchor: figure R² comment)</w:t>
      </w:r>
    </w:p>
    <w:p>
      <w:pPr>
        <w:ind w:left="480"/>
      </w:pPr>
      <w:r>
        <w:rPr>
          <w:i/>
        </w:rPr>
        <w:t>"The R-square value for both of these figures is very low, i.e., very weak regression results as indicated by little pattern shown by the dots. Not sure of the value of these relationships."</w:t>
      </w:r>
    </w:p>
    <w:p>
      <w:r>
        <w:rPr>
          <w:b/>
        </w:rPr>
        <w:t>Response:</w:t>
      </w:r>
      <w:r>
        <w:t xml:space="preserve"> We thank the reviewer for this important concern, which is central to our revised interpretation. The revised Results and Discussion explicitly report that the exposure's unique contribution (partial R²) declines to near zero after full adjustment (partial R² = 0.272, 0.056, 0.004, and &lt;0.001 for O-A through O-D; Table 2), and we no longer present the original median-split figure as a primary result (it is retained only as an audit-only reproduction in Online Resource 1). We thank the reviewer again for the care taken in reviewing every detail of the manuscript.</w:t>
      </w:r>
    </w:p>
    <w:p>
      <w:pPr>
        <w:pBdr>
          <w:bottom w:val="single" w:sz="6" w:space="1" w:color="999999"/>
        </w:pBdr>
      </w:pPr>
    </w:p>
    <w:p>
      <w:pPr>
        <w:pStyle w:val="Heading2"/>
      </w:pPr>
      <w:r>
        <w:t>Response to Reviewer 2</w:t>
      </w:r>
    </w:p>
    <w:p>
      <w:r>
        <w:t>Reviewer 2's overall comment: "This is an important and timely study… However, the central interpretation needs further support, and I recommend major revision."</w:t>
      </w:r>
    </w:p>
    <w:p>
      <w:r>
        <w:rPr>
          <w:b/>
        </w:rPr>
        <w:t>Response:</w:t>
      </w:r>
      <w:r>
        <w:t xml:space="preserve"> We thank Reviewer 2 sincerely for this careful, constructive, and incisive assessment. We agree with this assessment and address each numbered point below.</w:t>
      </w:r>
    </w:p>
    <w:p>
      <w:pPr>
        <w:pStyle w:val="Heading3"/>
      </w:pPr>
      <w:r>
        <w:t>R2 Comment 1</w:t>
      </w:r>
    </w:p>
    <w:p>
      <w:pPr>
        <w:ind w:left="480"/>
      </w:pPr>
      <w:r>
        <w:rPr>
          <w:i/>
        </w:rPr>
        <w:t>"Population age structure is the main concern… Please age standardise the outcome or calculate it using an elderly denominator. At minimum, include prefectural ageing rate alongside elderly solo household rate and show how the estimate changes. Collinearity does not remove the need to address this confounding."</w:t>
      </w:r>
    </w:p>
    <w:p>
      <w:r>
        <w:rPr>
          <w:b/>
        </w:rPr>
        <w:t>Response:</w:t>
      </w:r>
      <w:r>
        <w:t xml:space="preserve"> We thank the reviewer for this central and constructive comment; we agree, and this was the central analysis of this revision. We were unable to construct an age-standardized or older-population-specific G004 rate because prefecture-by-age cross-tabulated G004 counts are not publicly available in the 10th NDB Open Data (Methods §2, lines 115–118; see also our response to R2 Comment 6 below on the GitHub/data-availability point). Instead, we retained the originally submitted exposure and added prefectural ageing rate to the same model (Methods §5, lines 151–153; Results §2, lines 216–219; Table 2). The exposure coefficient changed from 656.2 (95% CI 326.9–985.6, p&lt;0.001) to 306.1 (95% CI −71.3–683.5, p=0.112), a descriptive attenuation of 53.3%, and statistical significance was lost. We do not use collinearity as a reason to avoid adjustment; maximum VIF across all models was 3.01 (Results §2, line 225; Table 2), and we report the ageing-rate-adjusted estimate and its uncertainty explicitly rather than omitting it.</w:t>
      </w:r>
    </w:p>
    <w:p>
      <w:pPr>
        <w:pStyle w:val="Heading3"/>
      </w:pPr>
      <w:r>
        <w:t>R2 Comment 2</w:t>
      </w:r>
    </w:p>
    <w:p>
      <w:pPr>
        <w:ind w:left="480"/>
      </w:pPr>
      <w:r>
        <w:rPr>
          <w:i/>
        </w:rPr>
        <w:t>"Healthcare supply and regional treatment practices may also explain part of the association… Please add a measure such as hospital beds or clinics per capita."</w:t>
      </w:r>
    </w:p>
    <w:p>
      <w:r>
        <w:rPr>
          <w:b/>
        </w:rPr>
        <w:t>Response:</w:t>
      </w:r>
      <w:r>
        <w:t xml:space="preserve"> We thank the reviewer for this valuable suggestion; we agree and added general hospital beds per 100,000 population (2023 Survey of Medical Institutions) as model O-C, and general clinics per 100,000 as a sensitivity analysis substituted for beds (Methods §5, lines 153–156; Results §2, lines 220–222; Online Resource 1). Adding healthcare supply further reduced the exposure coefficient to 94.1 (95% CI −302.4–490.6, p=0.642).</w:t>
      </w:r>
    </w:p>
    <w:p>
      <w:pPr>
        <w:pStyle w:val="Heading3"/>
      </w:pPr>
      <w:r>
        <w:t>R2 Comment 3</w:t>
      </w:r>
    </w:p>
    <w:p>
      <w:pPr>
        <w:ind w:left="480"/>
      </w:pPr>
      <w:r>
        <w:rPr>
          <w:i/>
        </w:rPr>
        <w:t>"The stratified analysis needs fuller interpretation… Please test for nonlinearity, examine the influence of metropolitan prefectures, and discuss whether the result may reflect confounding."</w:t>
      </w:r>
    </w:p>
    <w:p>
      <w:r>
        <w:rPr>
          <w:b/>
        </w:rPr>
        <w:t>Response:</w:t>
      </w:r>
      <w:r>
        <w:t xml:space="preserve"> We thank the reviewer for this comprehensive and constructive comment; we agree. We removed the median-split stratified analysis as a primary result and retained it only as an audit-only reproduction, explicitly labeled as not evidence of dose-response (Results §4, lines 238–241; Online Resource 1). We tested nonlinearity using a quadratic term and a natural cubic spline for the primary exposure in the fully adjusted (O-D) model; neither improved fit relative to the linear model (partial F p=0.142 and p=0.141, respectively; Results §4, lines 238–240). We examined the influence of individual prefectures via Cook's distance, leverage, and DFBETAs, and tested metropolitan exclusion (Tokyo, Osaka, Kanagawa jointly); the exposure estimate remained non-significant in all cases (Results §3, lines 227–236; Online Resource 1).</w:t>
      </w:r>
    </w:p>
    <w:p>
      <w:pPr>
        <w:pStyle w:val="Heading3"/>
      </w:pPr>
      <w:r>
        <w:t>R2 Comment 4</w:t>
      </w:r>
    </w:p>
    <w:p>
      <w:pPr>
        <w:ind w:left="480"/>
      </w:pPr>
      <w:r>
        <w:rPr>
          <w:i/>
        </w:rPr>
        <w:t>"The claim that social factors outperform climatic indicators is not convincing with the current climate measures… Please use stronger measures, such as maximum based WBGT, days above a WBGT threshold, or heat degree days. If these cannot be added, remove the comparative claim…"</w:t>
      </w:r>
    </w:p>
    <w:p>
      <w:r>
        <w:rPr>
          <w:b/>
        </w:rPr>
        <w:t>Response:</w:t>
      </w:r>
      <w:r>
        <w:t xml:space="preserve"> We thank the reviewer for this important and specific suggestion; we agree and have done both. We replaced the simplified daily-mean-temperature-based WBGT approximation with official daily-maximum WBGT observations from the Ministry of the Environment's Heat Illness Prevention Information site, aggregated across all available monitoring sites per prefecture (mean 17.9 sites; range 5–163) (Methods §4, lines 136–139). We used days with WBGT ≥28°C as the prespecified primary heat-adjustment variable, with days ≥31°C, days ≥33°C, and cumulative WBGT excess as sensitivity/exploratory measures with Benjamini-Hochberg FDR correction (Methods §4, lines 140–142; Methods §6, lines 177–179). We have also removed the comparative claim that social factors outperform climatic indicators; the revised Discussion instead reports a restrained, FDR-qualified exploratory WBGT finding (Discussion, lines 302–310).</w:t>
      </w:r>
    </w:p>
    <w:p>
      <w:pPr>
        <w:pStyle w:val="Heading3"/>
      </w:pPr>
      <w:r>
        <w:t>R2 Comment 5</w:t>
      </w:r>
    </w:p>
    <w:p>
      <w:pPr>
        <w:ind w:left="480"/>
      </w:pPr>
      <w:r>
        <w:rPr>
          <w:i/>
        </w:rPr>
        <w:t>"The claimed sixfold difference from the negative control is not valid because the raw coefficients concern outcomes measured on different scales… Please remove the sixfold claim, report standardised comparisons, and reconsider the interpretation of this analysis."</w:t>
      </w:r>
    </w:p>
    <w:p>
      <w:r>
        <w:rPr>
          <w:b/>
        </w:rPr>
        <w:t>Response:</w:t>
      </w:r>
      <w:r>
        <w:t xml:space="preserve"> We thank the reviewer for this important methodological correction; we agree and have removed the sixfold claim entirely. We renamed this analysis the "exploratory comparison-outcome analysis" (no longer "negative control") and report only standardized coefficients, Pearson r, R², and 95% CIs (Results §7, lines 261–266; Online Resource 1, Table S7). Under the primary (original) exposure, unadjusted, the standardized association with general outpatient utilization (β=0.424, 95% CI 0.088–0.760, R²=0.180, p=0.013) was only modestly smaller than the standardized association with the primary outcome (β=0.521, 95% CI 0.260–0.783, R²=0.272, p&lt;0.001), not the sixfold difference originally reported from incomparable raw coefficients. This does not support the originally claimed outcome specificity.</w:t>
      </w:r>
    </w:p>
    <w:p>
      <w:pPr>
        <w:pStyle w:val="Heading3"/>
      </w:pPr>
      <w:r>
        <w:t>R2 Comment 6</w:t>
      </w:r>
    </w:p>
    <w:p>
      <w:pPr>
        <w:ind w:left="480"/>
      </w:pPr>
      <w:r>
        <w:rPr>
          <w:i/>
        </w:rPr>
        <w:t>"Infusion use is only a partial proxy for heat related illness… Please describe the outcome more cautiously as general dehydration related utilisation with a possible heat component, and temper the policy conclusions accordingly… The study should also be framed as hypothesis generating… A descriptive title would better match the ecological design… Please also explain the mismatch among the 2014, 2020, and 2023 variables and correct the GitHub link containing 'XXX'."</w:t>
      </w:r>
    </w:p>
    <w:p>
      <w:r>
        <w:rPr>
          <w:b/>
        </w:rPr>
        <w:t>Response:</w:t>
      </w:r>
      <w:r>
        <w:t xml:space="preserve"> We thank the reviewer for these detailed and constructive comments; we agree. The outcome is now described throughout as large-volume infusion therapy utilization (procedure code G004, ≥500 mL), explicitly noted as not specific to heat illness or dehydration (Methods §2, lines 105–111; Discussion, lines 323–326). The title has been changed to a descriptive, non-evaluative form that does not imply direct evaluation of a warning system (line 1). We have explained the source-year alignment for each variable in the Limitations (Discussion, lines 343–348: 2020 Census for household composition and the primary exposure; 2023 population estimates for the outcome denominator and ageing rate; 2023 Survey of Medical Institutions for healthcare supply; 2014 survey for air-conditioning ownership, not used in the primary models). Regarding the GitHub link: we agree that "XXX" could read as an unfilled placeholder. We have renamed the repository and corrected the URL in the Data Availability statement, which now reads https://github.com/haruki00430/NDB-solo-household-infusion-therapy-japan (Data Availability, lines 394–402); the prior URL redirects automatically to the new one. We also now explicitly frame the study as hypothesis-generating in the Discussion and Conclusions, given the ecological, cross-sectional, and single-year design (Discussion, lines 355–356). We thank the reviewer once more for the depth and rigor of this review, which has substantially improved the manuscript.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