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esponse-to-editor-and-reviewers"/>
    <w:p>
      <w:pPr>
        <w:pStyle w:val="Heading1"/>
      </w:pPr>
      <w:r>
        <w:t xml:space="preserve">Response to Editor and Reviewers</w:t>
      </w:r>
    </w:p>
    <w:p>
      <w:pPr>
        <w:pStyle w:val="FirstParagraph"/>
      </w:pPr>
      <w:r>
        <w:t xml:space="preserve">Manuscript:</w:t>
      </w:r>
      <w:r>
        <w:t xml:space="preserve"> </w:t>
      </w:r>
      <w:r>
        <w:t xml:space="preserve">“Prefecture-Level Measures of Older Adults Living Alone and Large-Volume Infusion Therapy Utilization in Japan: Accounting for Population Age Structure and Heat Exposure”</w:t>
      </w:r>
      <w:r>
        <w:t xml:space="preserve"> </w:t>
      </w:r>
      <w:r>
        <w:t xml:space="preserve">(formerly</w:t>
      </w:r>
      <w:r>
        <w:t xml:space="preserve"> </w:t>
      </w:r>
      <w:r>
        <w:t xml:space="preserve">“Are Heat-Health Systems Socially Blind? Social Isolation and Dehydration-Related Healthcare Utilization Across Japan”</w:t>
      </w:r>
      <w:r>
        <w:t xml:space="preserve">)</w:t>
      </w:r>
    </w:p>
    <w:p>
      <w:pPr>
        <w:pStyle w:val="BodyText"/>
      </w:pPr>
      <w:r>
        <w:t xml:space="preserve">Submission ID: 0cd18650-d5db-481f-b00b-bbde3cda74f7</w:t>
      </w:r>
    </w:p>
    <w:p>
      <w:pPr>
        <w:pStyle w:val="BodyText"/>
      </w:pPr>
      <w:r>
        <w:t xml:space="preserve">We thank the Editor and both reviewers for a careful and constructive review. In direct response to Reviewer 2’s central request, we retained the originally submitted exposure (percentage of all households consisting of one person aged ≥65 years) and added prefectural ageing rate to the same model. The exposure coefficient changed from 656.2 (95% CI 326.9–985.6) to 306.1 (95% CI −71.3–683.5), a descriptive attenuation of 53.3%, and the association was no longer statistically significant. Further adjustment for healthcare supply and heat exposure attenuated the estimate further, to near zero. We also examined a complementary exposure using the older population as the denominator, which showed no evidence of association with infusion utilization at any stage. These analyses materially changed the interpretation of the study. We have not attempted to preserve the original conclusion; instead we have rewritten the title, Abstract, Introduction, Results, Discussion, and Conclusions to reflect these findings, and we present the revised analysis as a methodological contribution about denominator choice and confounding by population age structure in ecological social-vulnerability indicators.</w:t>
      </w:r>
    </w:p>
    <w:p>
      <w:pPr>
        <w:pStyle w:val="BodyText"/>
      </w:pPr>
      <w:r>
        <w:t xml:space="preserve">All page and line numbers below refer to the revised clean manuscript (continuous line numbering).</w:t>
      </w:r>
    </w:p>
    <w:p>
      <w:r>
        <w:pict>
          <v:rect style="width:0;height:1.5pt" o:hralign="center" o:hrstd="t" o:hr="t"/>
        </w:pict>
      </w:r>
    </w:p>
    <w:bookmarkStart w:id="9" w:name="response-to-the-editor"/>
    <w:p>
      <w:pPr>
        <w:pStyle w:val="Heading2"/>
      </w:pPr>
      <w:r>
        <w:t xml:space="preserve">Response to the Editor</w:t>
      </w:r>
    </w:p>
    <w:p>
      <w:pPr>
        <w:pStyle w:val="FirstParagraph"/>
      </w:pPr>
      <w:r>
        <w:rPr>
          <w:b/>
          <w:bCs/>
        </w:rPr>
        <w:t xml:space="preserve">Comment:</w:t>
      </w:r>
      <w:r>
        <w:t xml:space="preserve"> </w:t>
      </w:r>
      <w:r>
        <w:t xml:space="preserve">“We invite you to revise your paper, carefully addressing the comments from the reviewers and the editor. Please ensure the results are accurately reported, any overstated conclusions are rewritten and the limitations of the work fully explained.”</w:t>
      </w:r>
    </w:p>
    <w:p>
      <w:pPr>
        <w:pStyle w:val="BodyText"/>
      </w:pPr>
      <w:r>
        <w:rPr>
          <w:b/>
          <w:bCs/>
        </w:rPr>
        <w:t xml:space="preserve">Response:</w:t>
      </w:r>
      <w:r>
        <w:t xml:space="preserve"> </w:t>
      </w:r>
      <w:r>
        <w:t xml:space="preserve">We agree. We have rewritten the manuscript so that every claim reflects the revised analysis. Specifically: (1) the title no longer asks</w:t>
      </w:r>
      <w:r>
        <w:t xml:space="preserve"> </w:t>
      </w:r>
      <w:r>
        <w:t xml:space="preserve">“Are Heat-Health Systems Socially Blind?”</w:t>
      </w:r>
      <w:r>
        <w:t xml:space="preserve"> </w:t>
      </w:r>
      <w:r>
        <w:t xml:space="preserve">and no longer implies that a warning system was evaluated (p.1, line 1); (2) the Abstract Results and Conclusions report both the unadjusted and adjusted estimates with 95% confidence intervals rather than significance alone (p.1–2); (3) the outcome is now described throughout as large-volume infusion therapy utilization rather than a dehydration-specific label (p.4, line 10); (4) the claim that social factors outperformed climatic indicators, the</w:t>
      </w:r>
      <w:r>
        <w:t xml:space="preserve"> </w:t>
      </w:r>
      <w:r>
        <w:t xml:space="preserve">“socially blind”</w:t>
      </w:r>
      <w:r>
        <w:t xml:space="preserve"> </w:t>
      </w:r>
      <w:r>
        <w:t xml:space="preserve">framing, and the sixfold-stronger comparison have all been removed; (5) the Limitations section has been substantially expanded (p.12, line 15 onward) to include the ecological design, the distinction between living alone and social isolation, the non-specificity of G004, the unavailability of a prefecture-by-age G004 table, the single unusual fiscal year, the width of the adjusted confidence intervals at N=47, residual confounding, prefecture-level climate averaging (including Hokkaido’s multi-site aggregation), source-year differences across variables, and the ownership-versus-use limitation of air-conditioning data.</w:t>
      </w:r>
    </w:p>
    <w:p>
      <w:r>
        <w:pict>
          <v:rect style="width:0;height:1.5pt" o:hralign="center" o:hrstd="t" o:hr="t"/>
        </w:pict>
      </w:r>
    </w:p>
    <w:bookmarkEnd w:id="9"/>
    <w:bookmarkStart w:id="16" w:name="response-to-reviewer-2"/>
    <w:p>
      <w:pPr>
        <w:pStyle w:val="Heading2"/>
      </w:pPr>
      <w:r>
        <w:t xml:space="preserve">Response to Reviewer 2</w:t>
      </w:r>
    </w:p>
    <w:p>
      <w:pPr>
        <w:pStyle w:val="FirstParagraph"/>
      </w:pPr>
      <w:r>
        <w:t xml:space="preserve">Reviewer 2’s overall comment:</w:t>
      </w:r>
      <w:r>
        <w:t xml:space="preserve"> </w:t>
      </w:r>
      <w:r>
        <w:t xml:space="preserve">“This is an important and timely study… However, the central interpretation needs further support, and I recommend major revision.”</w:t>
      </w:r>
    </w:p>
    <w:p>
      <w:pPr>
        <w:pStyle w:val="BodyText"/>
      </w:pPr>
      <w:r>
        <w:rPr>
          <w:b/>
          <w:bCs/>
        </w:rPr>
        <w:t xml:space="preserve">Response:</w:t>
      </w:r>
      <w:r>
        <w:t xml:space="preserve"> </w:t>
      </w:r>
      <w:r>
        <w:t xml:space="preserve">We agree with this assessment and address each numbered point below.</w:t>
      </w:r>
    </w:p>
    <w:bookmarkStart w:id="10" w:name="r2-comment-1"/>
    <w:p>
      <w:pPr>
        <w:pStyle w:val="Heading3"/>
      </w:pPr>
      <w:r>
        <w:t xml:space="preserve">R2 Comment 1</w:t>
      </w:r>
    </w:p>
    <w:p>
      <w:pPr>
        <w:pStyle w:val="BlockText"/>
      </w:pPr>
      <w:r>
        <w:t xml:space="preserve">“Population age structure is the main concern… Please age standardise the outcome or calculate it using an elderly denominator. At minimum, include prefectural ageing rate alongside elderly solo household rate and show how the estimate changes. Collinearity does not remove the need to address this confounding.”</w:t>
      </w:r>
    </w:p>
    <w:p>
      <w:pPr>
        <w:pStyle w:val="FirstParagraph"/>
      </w:pPr>
      <w:r>
        <w:rPr>
          <w:b/>
          <w:bCs/>
        </w:rPr>
        <w:t xml:space="preserve">Response:</w:t>
      </w:r>
      <w:r>
        <w:t xml:space="preserve"> </w:t>
      </w:r>
      <w:r>
        <w:t xml:space="preserve">We agree, and this was the central analysis of this revision. We were unable to construct an age-standardized or older-population-specific G004 rate because prefecture-by-age cross-tabulated G004 counts are not publicly available in the 10th NDB Open Data (see our response to the related point below). Instead, we retained the originally submitted exposure and added prefectural ageing rate to the same model (Methods, p.4–5, line 32 onward and line 17; Results §3, p.8, line 16; Table 2, p.18). The exposure coefficient changed from 656.2 (95% CI 326.9–985.6, p&lt;0.001) to 306.1 (95% CI −71.3–683.5, p=0.112), a descriptive attenuation of 53.3%, and statistical significance was lost. We do not use collinearity as a reason to avoid adjustment; maximum VIF across all models was 3.01 (Table 2, p.18), and we report the ageing-rate-adjusted estimate and its uncertainty explicitly rather than omitting it.</w:t>
      </w:r>
    </w:p>
    <w:bookmarkEnd w:id="10"/>
    <w:bookmarkStart w:id="11" w:name="r2-comment-2"/>
    <w:p>
      <w:pPr>
        <w:pStyle w:val="Heading3"/>
      </w:pPr>
      <w:r>
        <w:t xml:space="preserve">R2 Comment 2</w:t>
      </w:r>
    </w:p>
    <w:p>
      <w:pPr>
        <w:pStyle w:val="BlockText"/>
      </w:pPr>
      <w:r>
        <w:t xml:space="preserve">“Healthcare supply and regional treatment practices may also explain part of the association… Please add a measure such as hospital beds or clinics per capita.”</w:t>
      </w:r>
    </w:p>
    <w:p>
      <w:pPr>
        <w:pStyle w:val="FirstParagraph"/>
      </w:pPr>
      <w:r>
        <w:rPr>
          <w:b/>
          <w:bCs/>
        </w:rPr>
        <w:t xml:space="preserve">Response:</w:t>
      </w:r>
      <w:r>
        <w:t xml:space="preserve"> </w:t>
      </w:r>
      <w:r>
        <w:t xml:space="preserve">We agree and added general hospital beds per 100,000 population (2023 Survey of Medical Institutions) as model O-C, and general clinics per 100,000 as a sensitivity analysis substituted for beds (Methods §6, p.5, line 24; Results §4, p.8, line 26; Online Resource 1). Adding healthcare supply further reduced the exposure coefficient to 94.1 (95% CI −302.4–490.6, p=0.642).</w:t>
      </w:r>
    </w:p>
    <w:bookmarkEnd w:id="11"/>
    <w:bookmarkStart w:id="12" w:name="r2-comment-3"/>
    <w:p>
      <w:pPr>
        <w:pStyle w:val="Heading3"/>
      </w:pPr>
      <w:r>
        <w:t xml:space="preserve">R2 Comment 3</w:t>
      </w:r>
    </w:p>
    <w:p>
      <w:pPr>
        <w:pStyle w:val="BlockText"/>
      </w:pPr>
      <w:r>
        <w:t xml:space="preserve">“The stratified analysis needs fuller interpretation… Please test for nonlinearity, examine the influence of metropolitan prefectures, and discuss whether the result may reflect confounding.”</w:t>
      </w:r>
    </w:p>
    <w:p>
      <w:pPr>
        <w:pStyle w:val="FirstParagraph"/>
      </w:pPr>
      <w:r>
        <w:rPr>
          <w:b/>
          <w:bCs/>
        </w:rPr>
        <w:t xml:space="preserve">Response:</w:t>
      </w:r>
      <w:r>
        <w:t xml:space="preserve"> </w:t>
      </w:r>
      <w:r>
        <w:t xml:space="preserve">We agree. We removed the median-split stratified analysis as a primary result and retained it only as an audit-only reproduction, explicitly labeled as not evidence of dose-response (Results §7, Online Resource 1). We tested nonlinearity using a quadratic term and a natural cubic spline for the primary exposure in the fully adjusted (O-D) model; neither improved fit relative to the linear model (partial F p=0.142 and p=0.141, respectively; Results §7, p.9–10, line 29 onward). We examined the influence of individual prefectures via Cook’s distance, leverage, and DFBETAs, and tested metropolitan exclusion (Tokyo, Osaka, Kanagawa jointly); the exposure estimate remained non-significant in all cases (p.9, line 29; Online Resource 1).</w:t>
      </w:r>
    </w:p>
    <w:bookmarkEnd w:id="12"/>
    <w:bookmarkStart w:id="13" w:name="r2-comment-4"/>
    <w:p>
      <w:pPr>
        <w:pStyle w:val="Heading3"/>
      </w:pPr>
      <w:r>
        <w:t xml:space="preserve">R2 Comment 4</w:t>
      </w:r>
    </w:p>
    <w:p>
      <w:pPr>
        <w:pStyle w:val="BlockText"/>
      </w:pPr>
      <w:r>
        <w:t xml:space="preserve">“The claim that social factors outperform climatic indicators is not convincing with the current climate measures… Please use stronger measures, such as maximum based WBGT, days above a WBGT threshold, or heat degree days. If these cannot be added, remove the comparative claim…”</w:t>
      </w:r>
    </w:p>
    <w:p>
      <w:pPr>
        <w:pStyle w:val="FirstParagraph"/>
      </w:pPr>
      <w:r>
        <w:rPr>
          <w:b/>
          <w:bCs/>
        </w:rPr>
        <w:t xml:space="preserve">Response:</w:t>
      </w:r>
      <w:r>
        <w:t xml:space="preserve"> </w:t>
      </w:r>
      <w:r>
        <w:t xml:space="preserve">We agree and have done both. We replaced the simplified daily-mean-temperature-based WBGT approximation with official daily-maximum WBGT observations from the Ministry of the Environment’s Heat Illness Prevention Information site, aggregated across all available monitoring sites per prefecture (mean 17.9 sites; range 5–163) (Methods §7, p.5, line 29). We used days with WBGT ≥28°C as the prespecified primary heat-adjustment variable, with days ≥31°C, days ≥33°C, and cumulative WBGT excess as sensitivity/exploratory measures with Benjamini-Hochberg FDR correction (Methods §7, p.5–6; Results §8, p.10, line 1). We have also removed the comparative claim that social factors outperform climatic indicators; the revised Discussion instead reports a restrained, FDR-qualified exploratory WBGT finding (p.10, line 13).</w:t>
      </w:r>
    </w:p>
    <w:bookmarkEnd w:id="13"/>
    <w:bookmarkStart w:id="14" w:name="r2-comment-5"/>
    <w:p>
      <w:pPr>
        <w:pStyle w:val="Heading3"/>
      </w:pPr>
      <w:r>
        <w:t xml:space="preserve">R2 Comment 5</w:t>
      </w:r>
    </w:p>
    <w:p>
      <w:pPr>
        <w:pStyle w:val="BlockText"/>
      </w:pPr>
      <w:r>
        <w:t xml:space="preserve">“The claimed sixfold difference from the negative control is not valid because the raw coefficients concern outcomes measured on different scales… Please remove the sixfold claim, report standardised comparisons, and reconsider the interpretation of this analysis.”</w:t>
      </w:r>
    </w:p>
    <w:p>
      <w:pPr>
        <w:pStyle w:val="FirstParagraph"/>
      </w:pPr>
      <w:r>
        <w:rPr>
          <w:b/>
          <w:bCs/>
        </w:rPr>
        <w:t xml:space="preserve">Response:</w:t>
      </w:r>
      <w:r>
        <w:t xml:space="preserve"> </w:t>
      </w:r>
      <w:r>
        <w:t xml:space="preserve">We agree and have removed the sixfold claim entirely. We renamed this analysis the</w:t>
      </w:r>
      <w:r>
        <w:t xml:space="preserve"> </w:t>
      </w:r>
      <w:r>
        <w:t xml:space="preserve">“exploratory comparison-outcome analysis”</w:t>
      </w:r>
      <w:r>
        <w:t xml:space="preserve"> </w:t>
      </w:r>
      <w:r>
        <w:t xml:space="preserve">(no longer</w:t>
      </w:r>
      <w:r>
        <w:t xml:space="preserve"> </w:t>
      </w:r>
      <w:r>
        <w:t xml:space="preserve">“negative control”</w:t>
      </w:r>
      <w:r>
        <w:t xml:space="preserve">) and report only standardized coefficients, Pearson r, R², and 95% CIs (Methods §9, p.7; Results §9, p.10, line 16; Online Resource 1). Under the primary exposure, the standardized association with general outpatient utilization (β=0.169) was numerically similar to, not smaller than, the standardized association with the primary outcome, which does not support the originally claimed specificity.</w:t>
      </w:r>
    </w:p>
    <w:bookmarkEnd w:id="14"/>
    <w:bookmarkStart w:id="15" w:name="r2-comment-6"/>
    <w:p>
      <w:pPr>
        <w:pStyle w:val="Heading3"/>
      </w:pPr>
      <w:r>
        <w:t xml:space="preserve">R2 Comment 6</w:t>
      </w:r>
    </w:p>
    <w:p>
      <w:pPr>
        <w:pStyle w:val="BlockText"/>
      </w:pPr>
      <w:r>
        <w:t xml:space="preserve">“Infusion use is only a partial proxy for heat related illness… Please describe the outcome more cautiously as general dehydration related utilisation with a possible heat component, and temper the policy conclusions accordingly… The study should also be framed as hypothesis generating… A descriptive title would better match the ecological design… Please also explain the mismatch among the 2014, 2020, and 2023 variables and correct the GitHub link containing</w:t>
      </w:r>
      <w:r>
        <w:t xml:space="preserve"> </w:t>
      </w:r>
      <w:r>
        <w:t xml:space="preserve">‘XXX’</w:t>
      </w:r>
      <w:r>
        <w:t xml:space="preserve">.”</w:t>
      </w:r>
    </w:p>
    <w:p>
      <w:pPr>
        <w:pStyle w:val="FirstParagraph"/>
      </w:pPr>
      <w:r>
        <w:rPr>
          <w:b/>
          <w:bCs/>
        </w:rPr>
        <w:t xml:space="preserve">Response:</w:t>
      </w:r>
      <w:r>
        <w:t xml:space="preserve"> </w:t>
      </w:r>
      <w:r>
        <w:t xml:space="preserve">We agree. The outcome is now described throughout as large-volume infusion therapy utilization (procedure code G004, ≥500 mL), explicitly noted as not specific to heat illness or dehydration (Methods §2, p.4, line 10). The title has been changed to a descriptive, non-evaluative form that does not imply direct evaluation of a warning system (p.1). We have explained the source-year alignment for each variable in the Limitations (p.12–13: 2020 Census for household composition and the primary exposure; 2023 population estimates for the outcome denominator and ageing rate; 2023 Survey of Medical Institutions for healthcare supply; 2014 survey for air-conditioning ownership, not used in the primary models). Regarding the GitHub link: we independently verified that https://github.com/haruki00430/NDB_XXX_heatwave_heatstroke is a live, public repository (confirmed via the GitHub API) and is not a broken placeholder;</w:t>
      </w:r>
      <w:r>
        <w:t xml:space="preserve"> </w:t>
      </w:r>
      <w:r>
        <w:t xml:space="preserve">“XXX”</w:t>
      </w:r>
      <w:r>
        <w:t xml:space="preserve"> </w:t>
      </w:r>
      <w:r>
        <w:t xml:space="preserve">is part of our internal project-naming convention rather than an unfilled template field. We recognize this may still read as an unfilled placeholder to readers and are considering renaming the repository for clarity; because renaming a public repository is an external, author-level action with downstream link implications, we have flagged it as an open decision in our internal revision records rather than performing it during this revision (Data Availability, p.13, line 21).</w:t>
      </w:r>
    </w:p>
    <w:p>
      <w:r>
        <w:pict>
          <v:rect style="width:0;height:1.5pt" o:hralign="center" o:hrstd="t" o:hr="t"/>
        </w:pict>
      </w:r>
    </w:p>
    <w:bookmarkEnd w:id="15"/>
    <w:bookmarkEnd w:id="16"/>
    <w:bookmarkStart w:id="52" w:name="response-to-reviewer-1"/>
    <w:p>
      <w:pPr>
        <w:pStyle w:val="Heading2"/>
      </w:pPr>
      <w:r>
        <w:t xml:space="preserve">Response to Reviewer 1</w:t>
      </w:r>
    </w:p>
    <w:p>
      <w:pPr>
        <w:pStyle w:val="FirstParagraph"/>
      </w:pPr>
      <w:r>
        <w:t xml:space="preserve">Reviewer 1’s overall comment:</w:t>
      </w:r>
      <w:r>
        <w:t xml:space="preserve"> </w:t>
      </w:r>
      <w:r>
        <w:t xml:space="preserve">“I think it was an interesting topic… My main concerns are that the relationship between heat exposure and dehydration may not be linear… AC in homes was high but it is unknown if it was used; and it was unknown what other health conditions older adults had that may also be associated with dehydration… I think with more literature in the introduction, additional details in the methods and a toned down</w:t>
      </w:r>
      <w:r>
        <w:t xml:space="preserve"> </w:t>
      </w:r>
      <w:r>
        <w:t xml:space="preserve">‘association’</w:t>
      </w:r>
      <w:r>
        <w:t xml:space="preserve"> </w:t>
      </w:r>
      <w:r>
        <w:t xml:space="preserve">between heat and therapy, this does present an interesting ecological study.”</w:t>
      </w:r>
    </w:p>
    <w:p>
      <w:pPr>
        <w:pStyle w:val="BodyText"/>
      </w:pPr>
      <w:r>
        <w:rPr>
          <w:b/>
          <w:bCs/>
        </w:rPr>
        <w:t xml:space="preserve">Response:</w:t>
      </w:r>
      <w:r>
        <w:t xml:space="preserve"> </w:t>
      </w:r>
      <w:r>
        <w:t xml:space="preserve">We thank Reviewer 1 for this constructive assessment and address every inline comment below, in order.</w:t>
      </w:r>
    </w:p>
    <w:bookmarkStart w:id="17" w:name="r1-1-anchor-47-japanese-prefectures"/>
    <w:p>
      <w:pPr>
        <w:pStyle w:val="Heading3"/>
      </w:pPr>
      <w:r>
        <w:t xml:space="preserve">R1-1 (anchor:</w:t>
      </w:r>
      <w:r>
        <w:t xml:space="preserve"> </w:t>
      </w:r>
      <w:r>
        <w:t xml:space="preserve">“47 Japanese prefectures”</w:t>
      </w:r>
      <w:r>
        <w:t xml:space="preserve">)</w:t>
      </w:r>
    </w:p>
    <w:p>
      <w:pPr>
        <w:pStyle w:val="BlockText"/>
      </w:pPr>
      <w:r>
        <w:t xml:space="preserve">“Is this using prefecture level data, or individual data by prefecture? How many individuals does it include as in how many people live in each prefecture?”</w:t>
      </w:r>
    </w:p>
    <w:p>
      <w:pPr>
        <w:pStyle w:val="FirstParagraph"/>
      </w:pPr>
      <w:r>
        <w:rPr>
          <w:b/>
          <w:bCs/>
        </w:rPr>
        <w:t xml:space="preserve">Response:</w:t>
      </w:r>
      <w:r>
        <w:t xml:space="preserve"> </w:t>
      </w:r>
      <w:r>
        <w:t xml:space="preserve">This is a prefecture-level ecological design (N=47); no individual-level data are used or available from NDB Open Data. We have clarified this explicitly at first mention (Methods §1, p.4, line 3) and note total population per prefecture is now reported via the population data underlying Table 1.</w:t>
      </w:r>
    </w:p>
    <w:bookmarkEnd w:id="17"/>
    <w:bookmarkStart w:id="18" w:name="r1-2-anchor-ecological"/>
    <w:p>
      <w:pPr>
        <w:pStyle w:val="Heading3"/>
      </w:pPr>
      <w:r>
        <w:t xml:space="preserve">R1-2 (anchor:</w:t>
      </w:r>
      <w:r>
        <w:t xml:space="preserve"> </w:t>
      </w:r>
      <w:r>
        <w:t xml:space="preserve">“ecological”</w:t>
      </w:r>
      <w:r>
        <w:t xml:space="preserve">)</w:t>
      </w:r>
    </w:p>
    <w:p>
      <w:pPr>
        <w:pStyle w:val="BlockText"/>
      </w:pPr>
      <w:r>
        <w:t xml:space="preserve">“Is Community-level social isolation an ecological factor, really?”</w:t>
      </w:r>
    </w:p>
    <w:p>
      <w:pPr>
        <w:pStyle w:val="FirstParagraph"/>
      </w:pPr>
      <w:r>
        <w:rPr>
          <w:b/>
          <w:bCs/>
        </w:rPr>
        <w:t xml:space="preserve">Response:</w:t>
      </w:r>
      <w:r>
        <w:t xml:space="preserve"> </w:t>
      </w:r>
      <w:r>
        <w:t xml:space="preserve">We agree this framing was imprecise. We no longer describe the exposure as</w:t>
      </w:r>
      <w:r>
        <w:t xml:space="preserve"> </w:t>
      </w:r>
      <w:r>
        <w:t xml:space="preserve">“social isolation”</w:t>
      </w:r>
      <w:r>
        <w:t xml:space="preserve">; the primary exposure is now explicitly described as a prefecture-level living-alone/household-composition indicator, and we distinguish living alone from social isolation throughout the Introduction and Discussion (Introduction, p.3, line 3 onward; Discussion §2, p.11).</w:t>
      </w:r>
    </w:p>
    <w:bookmarkEnd w:id="18"/>
    <w:bookmarkStart w:id="19" w:name="r1-3-anchor-wbgt"/>
    <w:p>
      <w:pPr>
        <w:pStyle w:val="Heading3"/>
      </w:pPr>
      <w:r>
        <w:t xml:space="preserve">R1-3 (anchor:</w:t>
      </w:r>
      <w:r>
        <w:t xml:space="preserve"> </w:t>
      </w:r>
      <w:r>
        <w:t xml:space="preserve">“WBGT”</w:t>
      </w:r>
      <w:r>
        <w:t xml:space="preserve">)</w:t>
      </w:r>
    </w:p>
    <w:p>
      <w:pPr>
        <w:pStyle w:val="BlockText"/>
      </w:pPr>
      <w:r>
        <w:t xml:space="preserve">“Write in full at first use.”</w:t>
      </w:r>
    </w:p>
    <w:p>
      <w:pPr>
        <w:pStyle w:val="FirstParagraph"/>
      </w:pPr>
      <w:r>
        <w:rPr>
          <w:b/>
          <w:bCs/>
        </w:rPr>
        <w:t xml:space="preserve">Response:</w:t>
      </w:r>
      <w:r>
        <w:t xml:space="preserve"> </w:t>
      </w:r>
      <w:r>
        <w:t xml:space="preserve">Corrected;</w:t>
      </w:r>
      <w:r>
        <w:t xml:space="preserve"> </w:t>
      </w:r>
      <w:r>
        <w:t xml:space="preserve">“wet-bulb globe temperature (WBGT)”</w:t>
      </w:r>
      <w:r>
        <w:t xml:space="preserve"> </w:t>
      </w:r>
      <w:r>
        <w:t xml:space="preserve">is spelled out at first use (p.5, line 29).</w:t>
      </w:r>
    </w:p>
    <w:bookmarkEnd w:id="19"/>
    <w:bookmarkStart w:id="20" w:name="r1-4-anchor-limited-informal-monitoring"/>
    <w:p>
      <w:pPr>
        <w:pStyle w:val="Heading3"/>
      </w:pPr>
      <w:r>
        <w:t xml:space="preserve">R1-4 (anchor:</w:t>
      </w:r>
      <w:r>
        <w:t xml:space="preserve"> </w:t>
      </w:r>
      <w:r>
        <w:t xml:space="preserve">“limited informal monitoring”</w:t>
      </w:r>
      <w:r>
        <w:t xml:space="preserve">)</w:t>
      </w:r>
    </w:p>
    <w:p>
      <w:pPr>
        <w:pStyle w:val="BlockText"/>
      </w:pPr>
      <w:r>
        <w:t xml:space="preserve">“Please explain what is informal monitoring. Monitoring of what?”</w:t>
      </w:r>
    </w:p>
    <w:p>
      <w:pPr>
        <w:pStyle w:val="FirstParagraph"/>
      </w:pPr>
      <w:r>
        <w:rPr>
          <w:b/>
          <w:bCs/>
        </w:rPr>
        <w:t xml:space="preserve">Response:</w:t>
      </w:r>
      <w:r>
        <w:t xml:space="preserve"> </w:t>
      </w:r>
      <w:r>
        <w:t xml:space="preserve">We revised this passage to specify concretely what is meant (e.g., a household member or neighbor noticing signs of heat illness, prompting fluid intake, or encouraging use of cooling), rather than using the unexplained term</w:t>
      </w:r>
      <w:r>
        <w:t xml:space="preserve"> </w:t>
      </w:r>
      <w:r>
        <w:t xml:space="preserve">“informal monitoring”</w:t>
      </w:r>
      <w:r>
        <w:t xml:space="preserve"> </w:t>
      </w:r>
      <w:r>
        <w:t xml:space="preserve">(Introduction/Discussion, revised wording).</w:t>
      </w:r>
    </w:p>
    <w:bookmarkEnd w:id="20"/>
    <w:bookmarkStart w:id="21" w:name="X0fec00217acdc5cc7808d67774d348790f7b23d"/>
    <w:p>
      <w:pPr>
        <w:pStyle w:val="Heading3"/>
      </w:pPr>
      <w:r>
        <w:t xml:space="preserve">R1-5 (anchor: reference list at end of sentence)</w:t>
      </w:r>
    </w:p>
    <w:p>
      <w:pPr>
        <w:pStyle w:val="BlockText"/>
      </w:pPr>
      <w:r>
        <w:t xml:space="preserve">“Would be better to put the references next to the points in the sentence and not all at the end.”</w:t>
      </w:r>
    </w:p>
    <w:p>
      <w:pPr>
        <w:pStyle w:val="FirstParagraph"/>
      </w:pPr>
      <w:r>
        <w:rPr>
          <w:b/>
          <w:bCs/>
        </w:rPr>
        <w:t xml:space="preserve">Response:</w:t>
      </w:r>
      <w:r>
        <w:t xml:space="preserve"> </w:t>
      </w:r>
      <w:r>
        <w:t xml:space="preserve">We have distributed citations next to the specific claims they support throughout the revised Introduction and Discussion rather than grouping them at sentence end.</w:t>
      </w:r>
    </w:p>
    <w:bookmarkEnd w:id="21"/>
    <w:bookmarkStart w:id="22" w:name="r1-6-anchor-ndb"/>
    <w:p>
      <w:pPr>
        <w:pStyle w:val="Heading3"/>
      </w:pPr>
      <w:r>
        <w:t xml:space="preserve">R1-6 (anchor:</w:t>
      </w:r>
      <w:r>
        <w:t xml:space="preserve"> </w:t>
      </w:r>
      <w:r>
        <w:t xml:space="preserve">“NDB”</w:t>
      </w:r>
      <w:r>
        <w:t xml:space="preserve">)</w:t>
      </w:r>
    </w:p>
    <w:p>
      <w:pPr>
        <w:pStyle w:val="BlockText"/>
      </w:pPr>
      <w:r>
        <w:t xml:space="preserve">“Write in full at first use.”</w:t>
      </w:r>
    </w:p>
    <w:p>
      <w:pPr>
        <w:pStyle w:val="FirstParagraph"/>
      </w:pPr>
      <w:r>
        <w:rPr>
          <w:b/>
          <w:bCs/>
        </w:rPr>
        <w:t xml:space="preserve">Response:</w:t>
      </w:r>
      <w:r>
        <w:t xml:space="preserve"> </w:t>
      </w:r>
      <w:r>
        <w:t xml:space="preserve">Corrected;</w:t>
      </w:r>
      <w:r>
        <w:t xml:space="preserve"> </w:t>
      </w:r>
      <w:r>
        <w:t xml:space="preserve">“National Database of Health Insurance Claims and Specific Health Checkups of Japan (NDB)”</w:t>
      </w:r>
      <w:r>
        <w:t xml:space="preserve"> </w:t>
      </w:r>
      <w:r>
        <w:t xml:space="preserve">is spelled out at first use (Methods §2, p.4, line 10).</w:t>
      </w:r>
    </w:p>
    <w:bookmarkEnd w:id="22"/>
    <w:bookmarkStart w:id="23" w:name="r1-7-anchor-2023"/>
    <w:p>
      <w:pPr>
        <w:pStyle w:val="Heading3"/>
      </w:pPr>
      <w:r>
        <w:t xml:space="preserve">R1-7 (anchor:</w:t>
      </w:r>
      <w:r>
        <w:t xml:space="preserve"> </w:t>
      </w:r>
      <w:r>
        <w:t xml:space="preserve">“2023”</w:t>
      </w:r>
      <w:r>
        <w:t xml:space="preserve">)</w:t>
      </w:r>
    </w:p>
    <w:p>
      <w:pPr>
        <w:pStyle w:val="BlockText"/>
      </w:pPr>
      <w:r>
        <w:t xml:space="preserve">“Is one year of data sufficient? What about year-on-year variability of environmental factors?”</w:t>
      </w:r>
    </w:p>
    <w:p>
      <w:pPr>
        <w:pStyle w:val="FirstParagraph"/>
      </w:pPr>
      <w:r>
        <w:rPr>
          <w:b/>
          <w:bCs/>
        </w:rPr>
        <w:t xml:space="preserve">Response:</w:t>
      </w:r>
      <w:r>
        <w:t xml:space="preserve"> </w:t>
      </w:r>
      <w:r>
        <w:t xml:space="preserve">We agree this is an important limitation and now state explicitly that 2023 was an unusually hot summer and that findings from a single fiscal year may not generalize to other years (Limitations, p.12, line 15 onward).</w:t>
      </w:r>
    </w:p>
    <w:bookmarkEnd w:id="23"/>
    <w:bookmarkStart w:id="24" w:name="X5da81ed6540497d555d2d90e458653c57ad06ff"/>
    <w:p>
      <w:pPr>
        <w:pStyle w:val="Heading3"/>
      </w:pPr>
      <w:r>
        <w:t xml:space="preserve">R1-8 (anchor:</w:t>
      </w:r>
      <w:r>
        <w:t xml:space="preserve"> </w:t>
      </w:r>
      <w:r>
        <w:t xml:space="preserve">“measured at government meteorological stations”</w:t>
      </w:r>
      <w:r>
        <w:t xml:space="preserve">)</w:t>
      </w:r>
    </w:p>
    <w:p>
      <w:pPr>
        <w:pStyle w:val="BlockText"/>
      </w:pPr>
      <w:r>
        <w:t xml:space="preserve">“How were they measured? By whom?”</w:t>
      </w:r>
    </w:p>
    <w:p>
      <w:pPr>
        <w:pStyle w:val="FirstParagraph"/>
      </w:pPr>
      <w:r>
        <w:rPr>
          <w:b/>
          <w:bCs/>
        </w:rPr>
        <w:t xml:space="preserve">Response:</w:t>
      </w:r>
      <w:r>
        <w:t xml:space="preserve"> </w:t>
      </w:r>
      <w:r>
        <w:t xml:space="preserve">We now specify that heat exposure is based on official Ministry of the Environment WBGT monitoring-site observations (Methods §7, p.5, line 29), replacing the prior unclear phrasing.</w:t>
      </w:r>
    </w:p>
    <w:bookmarkEnd w:id="24"/>
    <w:bookmarkStart w:id="25" w:name="X432cbef6d969254124594cf1d53f6102d79e863"/>
    <w:p>
      <w:pPr>
        <w:pStyle w:val="Heading3"/>
      </w:pPr>
      <w:r>
        <w:t xml:space="preserve">R1-9 (anchor:</w:t>
      </w:r>
      <w:r>
        <w:t xml:space="preserve"> </w:t>
      </w:r>
      <w:r>
        <w:t xml:space="preserve">“government meteorological stations”</w:t>
      </w:r>
      <w:r>
        <w:t xml:space="preserve">)</w:t>
      </w:r>
    </w:p>
    <w:p>
      <w:pPr>
        <w:pStyle w:val="BlockText"/>
      </w:pPr>
      <w:r>
        <w:t xml:space="preserve">“Is this the correction interpretation?”</w:t>
      </w:r>
      <w:r>
        <w:t xml:space="preserve"> </w:t>
      </w:r>
      <w:r>
        <w:t xml:space="preserve">[sic]</w:t>
      </w:r>
    </w:p>
    <w:p>
      <w:pPr>
        <w:pStyle w:val="FirstParagraph"/>
      </w:pPr>
      <w:r>
        <w:rPr>
          <w:b/>
          <w:bCs/>
        </w:rPr>
        <w:t xml:space="preserve">Response:</w:t>
      </w:r>
      <w:r>
        <w:t xml:space="preserve"> </w:t>
      </w:r>
      <w:r>
        <w:t xml:space="preserve">We revised this sentence for clarity and to correctly attribute the data source (Ministry of the Environment WBGT network rather than JMA temperature stations, for the heat-exposure variable) (p.5, line 29).</w:t>
      </w:r>
    </w:p>
    <w:bookmarkEnd w:id="25"/>
    <w:bookmarkStart w:id="26" w:name="Xab89b8ec421e9706b4e423117b703d76d5642fe"/>
    <w:p>
      <w:pPr>
        <w:pStyle w:val="Heading3"/>
      </w:pPr>
      <w:r>
        <w:t xml:space="preserve">R1-10 (anchor:</w:t>
      </w:r>
      <w:r>
        <w:t xml:space="preserve"> </w:t>
      </w:r>
      <w:r>
        <w:t xml:space="preserve">“summer season (June–September 2023)”</w:t>
      </w:r>
      <w:r>
        <w:t xml:space="preserve">)</w:t>
      </w:r>
    </w:p>
    <w:p>
      <w:pPr>
        <w:pStyle w:val="BlockText"/>
      </w:pPr>
      <w:r>
        <w:t xml:space="preserve">“Was this summer a typical summer? Not hotter than normal or cooler than normal? How do you know that?”</w:t>
      </w:r>
    </w:p>
    <w:p>
      <w:pPr>
        <w:pStyle w:val="FirstParagraph"/>
      </w:pPr>
      <w:r>
        <w:rPr>
          <w:b/>
          <w:bCs/>
        </w:rPr>
        <w:t xml:space="preserve">Response:</w:t>
      </w:r>
      <w:r>
        <w:t xml:space="preserve"> </w:t>
      </w:r>
      <w:r>
        <w:t xml:space="preserve">We now state explicitly in the Limitations that 2023 was an atypically hot summer and that this limits generalizability (p.12, line 15 onward).</w:t>
      </w:r>
    </w:p>
    <w:bookmarkEnd w:id="26"/>
    <w:bookmarkStart w:id="27" w:name="X0c6482d104733d3b7319b176f65333f5e8fe10b"/>
    <w:p>
      <w:pPr>
        <w:pStyle w:val="Heading3"/>
      </w:pPr>
      <w:r>
        <w:t xml:space="preserve">R1-11 (anchor: heatwave-day definition sentence)</w:t>
      </w:r>
    </w:p>
    <w:p>
      <w:pPr>
        <w:pStyle w:val="BlockText"/>
      </w:pPr>
      <w:r>
        <w:t xml:space="preserve">“Is this an appropriate definition of heatwave for Japan? Is this the Japan Met Agency definition? If not, why not use their definition?”</w:t>
      </w:r>
    </w:p>
    <w:p>
      <w:pPr>
        <w:pStyle w:val="FirstParagraph"/>
      </w:pPr>
      <w:r>
        <w:rPr>
          <w:b/>
          <w:bCs/>
        </w:rPr>
        <w:t xml:space="preserve">Response:</w:t>
      </w:r>
      <w:r>
        <w:t xml:space="preserve"> </w:t>
      </w:r>
      <w:r>
        <w:t xml:space="preserve">We have replaced the original ad hoc</w:t>
      </w:r>
      <w:r>
        <w:t xml:space="preserve"> </w:t>
      </w:r>
      <w:r>
        <w:t xml:space="preserve">“heatwave days”</w:t>
      </w:r>
      <w:r>
        <w:t xml:space="preserve"> </w:t>
      </w:r>
      <w:r>
        <w:t xml:space="preserve">(maximum temperature ≥35°C) variable with official Ministry of the Environment WBGT-based metrics (days with daily maximum WBGT ≥28/31/33°C) as the prespecified primary and sensitivity heat-adjustment variables (Methods §7, p.5, line 29). We no longer use the term</w:t>
      </w:r>
      <w:r>
        <w:t xml:space="preserve"> </w:t>
      </w:r>
      <w:r>
        <w:t xml:space="preserve">“heatwave days”</w:t>
      </w:r>
      <w:r>
        <w:t xml:space="preserve"> </w:t>
      </w:r>
      <w:r>
        <w:t xml:space="preserve">for the primary analysis.</w:t>
      </w:r>
    </w:p>
    <w:bookmarkEnd w:id="27"/>
    <w:bookmarkStart w:id="28" w:name="X6ed4c5bd5412a407671c93d212c2e2cfc1738fa"/>
    <w:p>
      <w:pPr>
        <w:pStyle w:val="Heading3"/>
      </w:pPr>
      <w:r>
        <w:t xml:space="preserve">R1-12 (anchor:</w:t>
      </w:r>
      <w:r>
        <w:t xml:space="preserve"> </w:t>
      </w:r>
      <w:r>
        <w:t xml:space="preserve">“Patel et al. 2013; Liljegren et al. 2008”</w:t>
      </w:r>
      <w:r>
        <w:t xml:space="preserve">)</w:t>
      </w:r>
    </w:p>
    <w:p>
      <w:pPr>
        <w:pStyle w:val="BlockText"/>
      </w:pPr>
      <w:r>
        <w:t xml:space="preserve">“What are these references for?”</w:t>
      </w:r>
    </w:p>
    <w:p>
      <w:pPr>
        <w:pStyle w:val="FirstParagraph"/>
      </w:pPr>
      <w:r>
        <w:rPr>
          <w:b/>
          <w:bCs/>
        </w:rPr>
        <w:t xml:space="preserve">Response:</w:t>
      </w:r>
      <w:r>
        <w:t xml:space="preserve"> </w:t>
      </w:r>
      <w:r>
        <w:t xml:space="preserve">These citations, which supported the original simplified WBGT approximation formula, have been removed along with that formula, since we now use official measured/estimated WBGT data (Methods §7, p.5, line 29).</w:t>
      </w:r>
    </w:p>
    <w:bookmarkEnd w:id="28"/>
    <w:bookmarkStart w:id="29" w:name="Xbcb73b01da6803b98cb0825899372c9af981c80"/>
    <w:p>
      <w:pPr>
        <w:pStyle w:val="Heading3"/>
      </w:pPr>
      <w:r>
        <w:t xml:space="preserve">R1-13 (anchor:</w:t>
      </w:r>
      <w:r>
        <w:t xml:space="preserve"> </w:t>
      </w:r>
      <w:r>
        <w:t xml:space="preserve">“rapid-change days”</w:t>
      </w:r>
      <w:r>
        <w:t xml:space="preserve"> </w:t>
      </w:r>
      <w:r>
        <w:t xml:space="preserve">definition)</w:t>
      </w:r>
    </w:p>
    <w:p>
      <w:pPr>
        <w:pStyle w:val="BlockText"/>
      </w:pPr>
      <w:r>
        <w:t xml:space="preserve">“Is there a reference for this choice of variable?”</w:t>
      </w:r>
    </w:p>
    <w:p>
      <w:pPr>
        <w:pStyle w:val="FirstParagraph"/>
      </w:pPr>
      <w:r>
        <w:rPr>
          <w:b/>
          <w:bCs/>
        </w:rPr>
        <w:t xml:space="preserve">Response:</w:t>
      </w:r>
      <w:r>
        <w:t xml:space="preserve"> </w:t>
      </w:r>
      <w:r>
        <w:t xml:space="preserve">The</w:t>
      </w:r>
      <w:r>
        <w:t xml:space="preserve"> </w:t>
      </w:r>
      <w:r>
        <w:t xml:space="preserve">“rapid-change days”</w:t>
      </w:r>
      <w:r>
        <w:t xml:space="preserve"> </w:t>
      </w:r>
      <w:r>
        <w:t xml:space="preserve">variable has been removed from the primary analysis in this revision; our climate variables are now limited to the prespecified WBGT threshold and cumulative-excess metrics described in Methods §7.</w:t>
      </w:r>
    </w:p>
    <w:bookmarkEnd w:id="29"/>
    <w:bookmarkStart w:id="30" w:name="X03fee452dd769a86bde2bec69d634e730b5f0e0"/>
    <w:p>
      <w:pPr>
        <w:pStyle w:val="Heading3"/>
      </w:pPr>
      <w:r>
        <w:t xml:space="preserve">R1-14 (anchor: air-conditioning prevalence sentence)</w:t>
      </w:r>
    </w:p>
    <w:p>
      <w:pPr>
        <w:pStyle w:val="BlockText"/>
      </w:pPr>
      <w:r>
        <w:t xml:space="preserve">“Was this also at prefecture level?”</w:t>
      </w:r>
    </w:p>
    <w:p>
      <w:pPr>
        <w:pStyle w:val="FirstParagraph"/>
      </w:pPr>
      <w:r>
        <w:rPr>
          <w:b/>
          <w:bCs/>
        </w:rPr>
        <w:t xml:space="preserve">Response:</w:t>
      </w:r>
      <w:r>
        <w:t xml:space="preserve"> </w:t>
      </w:r>
      <w:r>
        <w:t xml:space="preserve">Yes; air-conditioning prevalence (2014 survey) is prefecture-level, as now clarified in Methods, though this variable is retained only as background/exploratory context and is not part of the primary O-A–O-D models (Limitations, p.13).</w:t>
      </w:r>
    </w:p>
    <w:bookmarkEnd w:id="30"/>
    <w:bookmarkStart w:id="31" w:name="r1-15-anchor-aging-rate"/>
    <w:p>
      <w:pPr>
        <w:pStyle w:val="Heading3"/>
      </w:pPr>
      <w:r>
        <w:t xml:space="preserve">R1-15 (anchor:</w:t>
      </w:r>
      <w:r>
        <w:t xml:space="preserve"> </w:t>
      </w:r>
      <w:r>
        <w:t xml:space="preserve">“Aging rate”</w:t>
      </w:r>
      <w:r>
        <w:t xml:space="preserve">)</w:t>
      </w:r>
    </w:p>
    <w:p>
      <w:pPr>
        <w:pStyle w:val="BlockText"/>
      </w:pPr>
      <w:r>
        <w:t xml:space="preserve">“Do you mean</w:t>
      </w:r>
      <w:r>
        <w:t xml:space="preserve"> </w:t>
      </w:r>
      <w:r>
        <w:t xml:space="preserve">‘Age’</w:t>
      </w:r>
      <w:r>
        <w:t xml:space="preserve">?”</w:t>
      </w:r>
    </w:p>
    <w:p>
      <w:pPr>
        <w:pStyle w:val="FirstParagraph"/>
      </w:pPr>
      <w:r>
        <w:rPr>
          <w:b/>
          <w:bCs/>
        </w:rPr>
        <w:t xml:space="preserve">Response:</w:t>
      </w:r>
      <w:r>
        <w:t xml:space="preserve"> </w:t>
      </w:r>
      <w:r>
        <w:t xml:space="preserve">We mean the prefectural ageing rate, i.e., the percentage of the population aged ≥65 years. This variable, unavailable in the original submission, is now included as a prespecified adjustment variable and precisely defined (Methods §5, p.5, line 17).</w:t>
      </w:r>
    </w:p>
    <w:bookmarkEnd w:id="31"/>
    <w:bookmarkStart w:id="32" w:name="X94ef94919f06ff2f07609088393c2a87eeb94be"/>
    <w:p>
      <w:pPr>
        <w:pStyle w:val="Heading3"/>
      </w:pPr>
      <w:r>
        <w:t xml:space="preserve">R1-16 (anchor:</w:t>
      </w:r>
      <w:r>
        <w:t xml:space="preserve"> </w:t>
      </w:r>
      <w:r>
        <w:t xml:space="preserve">“simple linear regression with infusion therapy utilization as the outcome”</w:t>
      </w:r>
      <w:r>
        <w:t xml:space="preserve">)</w:t>
      </w:r>
    </w:p>
    <w:p>
      <w:pPr>
        <w:pStyle w:val="BlockText"/>
      </w:pPr>
      <w:r>
        <w:t xml:space="preserve">“Are there any previous studies that have done this and found a potential relationship between ecological predictors and infusion therapy use? Is there an existing exposure response function? What justified the use of linear regression? Often there is a lag between heat exposure and health outcome. Why was this not taken into consideration here? A simple linear regression may not suffice.”</w:t>
      </w:r>
    </w:p>
    <w:p>
      <w:pPr>
        <w:pStyle w:val="FirstParagraph"/>
      </w:pPr>
      <w:r>
        <w:rPr>
          <w:b/>
          <w:bCs/>
        </w:rPr>
        <w:t xml:space="preserve">Response:</w:t>
      </w:r>
      <w:r>
        <w:t xml:space="preserve"> </w:t>
      </w:r>
      <w:r>
        <w:t xml:space="preserve">We agree linearity should be tested rather than assumed. We added formal nonlinearity tests (quadratic term and natural cubic spline for the primary exposure) in the fully adjusted model; neither improved fit over the linear specification (Methods §9, p.6, line 14; Results §7, p.9, line 29 onward). We acknowledge in the Limitations that our design is cross-sectional and cannot incorporate exposure-response lags, and we note this explicitly as an unaddressed limitation for future longitudinal work (Limitations, p.12).</w:t>
      </w:r>
    </w:p>
    <w:bookmarkEnd w:id="32"/>
    <w:bookmarkStart w:id="33" w:name="Xea8bf04b09f3b7ef921f1ff278f02b6a88c6efa"/>
    <w:p>
      <w:pPr>
        <w:pStyle w:val="Heading3"/>
      </w:pPr>
      <w:r>
        <w:t xml:space="preserve">R1-17 (anchor:</w:t>
      </w:r>
      <w:r>
        <w:t xml:space="preserve"> </w:t>
      </w:r>
      <w:r>
        <w:t xml:space="preserve">“This approach estimated policy-interpretable population-level associations rather than a predictive multivariable model.”</w:t>
      </w:r>
      <w:r>
        <w:t xml:space="preserve">)</w:t>
      </w:r>
    </w:p>
    <w:p>
      <w:pPr>
        <w:pStyle w:val="BlockText"/>
      </w:pPr>
      <w:r>
        <w:t xml:space="preserve">“Why is the former more useful than the latter?”</w:t>
      </w:r>
    </w:p>
    <w:p>
      <w:pPr>
        <w:pStyle w:val="FirstParagraph"/>
      </w:pPr>
      <w:r>
        <w:rPr>
          <w:b/>
          <w:bCs/>
        </w:rPr>
        <w:t xml:space="preserve">Response:</w:t>
      </w:r>
      <w:r>
        <w:t xml:space="preserve"> </w:t>
      </w:r>
      <w:r>
        <w:t xml:space="preserve">This sentence and its underlying justification (avoiding multivariable adjustment because of collinearity) have been removed. We now explicitly state that we did not use multicollinearity as a reason to avoid adjustment, and we report cumulative multivariable models with VIFs for every covariate (Methods §9, p.6, line 22; Table 2).</w:t>
      </w:r>
    </w:p>
    <w:bookmarkEnd w:id="33"/>
    <w:bookmarkStart w:id="34" w:name="r1-18-anchor-4n-n-47-0.085"/>
    <w:p>
      <w:pPr>
        <w:pStyle w:val="Heading3"/>
      </w:pPr>
      <w:r>
        <w:t xml:space="preserve">R1-18 (anchor:</w:t>
      </w:r>
      <w:r>
        <w:t xml:space="preserve"> </w:t>
      </w:r>
      <w:r>
        <w:t xml:space="preserve">“4/N (N = 47 = 0.085)”</w:t>
      </w:r>
      <w:r>
        <w:t xml:space="preserve">)</w:t>
      </w:r>
    </w:p>
    <w:p>
      <w:pPr>
        <w:pStyle w:val="BlockText"/>
      </w:pPr>
      <w:r>
        <w:t xml:space="preserve">“Please explain what is N and what these numbers mean, and how can 47 equal 0.085?”</w:t>
      </w:r>
    </w:p>
    <w:p>
      <w:pPr>
        <w:pStyle w:val="FirstParagraph"/>
      </w:pPr>
      <w:r>
        <w:rPr>
          <w:b/>
          <w:bCs/>
        </w:rPr>
        <w:t xml:space="preserve">Response:</w:t>
      </w:r>
      <w:r>
        <w:t xml:space="preserve"> </w:t>
      </w:r>
      <w:r>
        <w:t xml:space="preserve">We revised this sentence for clarity: N is the number of prefectures (47), and the Cook’s distance influence threshold is conventionally set at 4/N (i.e., 4 divided by 47 ≈ 0.085), not</w:t>
      </w:r>
      <w:r>
        <w:t xml:space="preserve"> </w:t>
      </w:r>
      <w:r>
        <w:t xml:space="preserve">“N = 0.085.”</w:t>
      </w:r>
      <w:r>
        <w:t xml:space="preserve"> </w:t>
      </w:r>
      <w:r>
        <w:t xml:space="preserve">The corrected wording appears in the Results/Online Resource 1 description of influence diagnostics.</w:t>
      </w:r>
    </w:p>
    <w:bookmarkEnd w:id="34"/>
    <w:bookmarkStart w:id="35" w:name="r1-19-anchor-adjusted"/>
    <w:p>
      <w:pPr>
        <w:pStyle w:val="Heading3"/>
      </w:pPr>
      <w:r>
        <w:t xml:space="preserve">R1-19 (anchor:</w:t>
      </w:r>
      <w:r>
        <w:t xml:space="preserve"> </w:t>
      </w:r>
      <w:r>
        <w:t xml:space="preserve">“adjusted”</w:t>
      </w:r>
      <w:r>
        <w:t xml:space="preserve">)</w:t>
      </w:r>
    </w:p>
    <w:p>
      <w:pPr>
        <w:pStyle w:val="BlockText"/>
      </w:pPr>
      <w:r>
        <w:t xml:space="preserve">“What were the models adjusted for please?”</w:t>
      </w:r>
    </w:p>
    <w:p>
      <w:pPr>
        <w:pStyle w:val="FirstParagraph"/>
      </w:pPr>
      <w:r>
        <w:rPr>
          <w:b/>
          <w:bCs/>
        </w:rPr>
        <w:t xml:space="preserve">Response:</w:t>
      </w:r>
      <w:r>
        <w:t xml:space="preserve"> </w:t>
      </w:r>
      <w:r>
        <w:t xml:space="preserve">This is now stated explicitly and cumulatively for every model: O-A (exposure alone), O-B (+ ageing rate), O-C (+ ageing rate + hospital beds), O-D (+ ageing rate + hospital beds + WBGT ≥28°C days) (Methods §9, p.6, line 14; Table 2, p.18).</w:t>
      </w:r>
    </w:p>
    <w:bookmarkEnd w:id="35"/>
    <w:bookmarkStart w:id="36" w:name="r1-20-anchor-12.6"/>
    <w:p>
      <w:pPr>
        <w:pStyle w:val="Heading3"/>
      </w:pPr>
      <w:r>
        <w:t xml:space="preserve">R1-20 (anchor:</w:t>
      </w:r>
      <w:r>
        <w:t xml:space="preserve"> </w:t>
      </w:r>
      <w:r>
        <w:t xml:space="preserve">“12.6 ±”</w:t>
      </w:r>
      <w:r>
        <w:t xml:space="preserve">)</w:t>
      </w:r>
    </w:p>
    <w:p>
      <w:pPr>
        <w:pStyle w:val="BlockText"/>
      </w:pPr>
      <w:r>
        <w:t xml:space="preserve">“Does this mean 12.6 per 100 000? Please be specific to ensure this is a rate and not just a number.”</w:t>
      </w:r>
    </w:p>
    <w:p>
      <w:pPr>
        <w:pStyle w:val="FirstParagraph"/>
      </w:pPr>
      <w:r>
        <w:rPr>
          <w:b/>
          <w:bCs/>
        </w:rPr>
        <w:t xml:space="preserve">Response:</w:t>
      </w:r>
      <w:r>
        <w:t xml:space="preserve"> </w:t>
      </w:r>
      <w:r>
        <w:t xml:space="preserve">Corrected; Table 1 now specifies units for every variable explicitly (e.g.,</w:t>
      </w:r>
      <w:r>
        <w:t xml:space="preserve"> </w:t>
      </w:r>
      <w:r>
        <w:t xml:space="preserve">“%”</w:t>
      </w:r>
      <w:r>
        <w:t xml:space="preserve"> </w:t>
      </w:r>
      <w:r>
        <w:t xml:space="preserve">for the exposure,</w:t>
      </w:r>
      <w:r>
        <w:t xml:space="preserve"> </w:t>
      </w:r>
      <w:r>
        <w:t xml:space="preserve">“per 100,000”</w:t>
      </w:r>
      <w:r>
        <w:t xml:space="preserve"> </w:t>
      </w:r>
      <w:r>
        <w:t xml:space="preserve">for the outcome) (Table 1, p.17).</w:t>
      </w:r>
    </w:p>
    <w:bookmarkEnd w:id="36"/>
    <w:bookmarkStart w:id="37" w:name="r1-21-anchor-17.9"/>
    <w:p>
      <w:pPr>
        <w:pStyle w:val="Heading3"/>
      </w:pPr>
      <w:r>
        <w:t xml:space="preserve">R1-21 (anchor:</w:t>
      </w:r>
      <w:r>
        <w:t xml:space="preserve"> </w:t>
      </w:r>
      <w:r>
        <w:t xml:space="preserve">“17.9”</w:t>
      </w:r>
      <w:r>
        <w:t xml:space="preserve">)</w:t>
      </w:r>
    </w:p>
    <w:p>
      <w:pPr>
        <w:pStyle w:val="BlockText"/>
      </w:pPr>
      <w:r>
        <w:t xml:space="preserve">“17 days in how many days?”</w:t>
      </w:r>
    </w:p>
    <w:p>
      <w:pPr>
        <w:pStyle w:val="FirstParagraph"/>
      </w:pPr>
      <w:r>
        <w:rPr>
          <w:b/>
          <w:bCs/>
        </w:rPr>
        <w:t xml:space="preserve">Response:</w:t>
      </w:r>
      <w:r>
        <w:t xml:space="preserve"> </w:t>
      </w:r>
      <w:r>
        <w:t xml:space="preserve">The original</w:t>
      </w:r>
      <w:r>
        <w:t xml:space="preserve"> </w:t>
      </w:r>
      <w:r>
        <w:t xml:space="preserve">“heatwave days”</w:t>
      </w:r>
      <w:r>
        <w:t xml:space="preserve"> </w:t>
      </w:r>
      <w:r>
        <w:t xml:space="preserve">variable (out of a ~122-day June–September period) has been replaced by official WBGT threshold-day counts, and Table 1 now specifies the season length and units explicitly (Methods §7; Table 1, p.17).</w:t>
      </w:r>
    </w:p>
    <w:bookmarkEnd w:id="37"/>
    <w:bookmarkStart w:id="38" w:name="r1-22-anchor-23.2"/>
    <w:p>
      <w:pPr>
        <w:pStyle w:val="Heading3"/>
      </w:pPr>
      <w:r>
        <w:t xml:space="preserve">R1-22 (anchor:</w:t>
      </w:r>
      <w:r>
        <w:t xml:space="preserve"> </w:t>
      </w:r>
      <w:r>
        <w:t xml:space="preserve">“23.2”</w:t>
      </w:r>
      <w:r>
        <w:t xml:space="preserve">)</w:t>
      </w:r>
    </w:p>
    <w:p>
      <w:pPr>
        <w:pStyle w:val="BlockText"/>
      </w:pPr>
      <w:r>
        <w:t xml:space="preserve">“This is very cool.”</w:t>
      </w:r>
    </w:p>
    <w:p>
      <w:pPr>
        <w:pStyle w:val="FirstParagraph"/>
      </w:pPr>
      <w:r>
        <w:rPr>
          <w:b/>
          <w:bCs/>
        </w:rPr>
        <w:t xml:space="preserve">Response:</w:t>
      </w:r>
      <w:r>
        <w:t xml:space="preserve"> </w:t>
      </w:r>
      <w:r>
        <w:t xml:space="preserve">We note that this comment referred to the original simplified WBGT approximation, which we have replaced with official Ministry of the Environment WBGT observations (Methods §7, p.5, line 29); the revised summary statistics are reported in Table 1.</w:t>
      </w:r>
    </w:p>
    <w:bookmarkEnd w:id="38"/>
    <w:bookmarkStart w:id="39" w:name="r1-23-anchor-89.7"/>
    <w:p>
      <w:pPr>
        <w:pStyle w:val="Heading3"/>
      </w:pPr>
      <w:r>
        <w:t xml:space="preserve">R1-23 (anchor:</w:t>
      </w:r>
      <w:r>
        <w:t xml:space="preserve"> </w:t>
      </w:r>
      <w:r>
        <w:t xml:space="preserve">“89.7”</w:t>
      </w:r>
      <w:r>
        <w:t xml:space="preserve">)</w:t>
      </w:r>
    </w:p>
    <w:p>
      <w:pPr>
        <w:pStyle w:val="BlockText"/>
      </w:pPr>
      <w:r>
        <w:t xml:space="preserve">“This is a very high AC use.”</w:t>
      </w:r>
    </w:p>
    <w:p>
      <w:pPr>
        <w:pStyle w:val="FirstParagraph"/>
      </w:pPr>
      <w:r>
        <w:rPr>
          <w:b/>
          <w:bCs/>
        </w:rPr>
        <w:t xml:space="preserve">Response:</w:t>
      </w:r>
      <w:r>
        <w:t xml:space="preserve"> </w:t>
      </w:r>
      <w:r>
        <w:t xml:space="preserve">Noted; air-conditioning prevalence (2014 survey, background variable only, not part of the primary adjusted models) is discussed in the Limitations with the caveat that ownership does not establish use (p.13, final limitation).</w:t>
      </w:r>
    </w:p>
    <w:bookmarkEnd w:id="39"/>
    <w:bookmarkStart w:id="40" w:name="X8e93924366236764e3afe2ff9e6d7f45c12c9f6"/>
    <w:p>
      <w:pPr>
        <w:pStyle w:val="Heading3"/>
      </w:pPr>
      <w:r>
        <w:t xml:space="preserve">R1-24 (anchor:</w:t>
      </w:r>
      <w:r>
        <w:t xml:space="preserve"> </w:t>
      </w:r>
      <w:r>
        <w:t xml:space="preserve">“Heat-health surveillance has traditionally focused on where heat occurs…”</w:t>
      </w:r>
      <w:r>
        <w:t xml:space="preserve">)</w:t>
      </w:r>
    </w:p>
    <w:p>
      <w:pPr>
        <w:pStyle w:val="BlockText"/>
      </w:pPr>
      <w:r>
        <w:t xml:space="preserve">“I concur with this finding, as do many heat physiologists.”</w:t>
      </w:r>
    </w:p>
    <w:p>
      <w:pPr>
        <w:pStyle w:val="FirstParagraph"/>
      </w:pPr>
      <w:r>
        <w:rPr>
          <w:b/>
          <w:bCs/>
        </w:rPr>
        <w:t xml:space="preserve">Response:</w:t>
      </w:r>
      <w:r>
        <w:t xml:space="preserve"> </w:t>
      </w:r>
      <w:r>
        <w:t xml:space="preserve">We thank the reviewer for this supportive comment. We note that our revised findings qualify the original framing considerably (see response to R2 comments 1–5); the Discussion now emphasizes that any social-vulnerability indicator proposed for surveillance must first be shown to carry information beyond population age structure (Discussion §6, p.11–12).</w:t>
      </w:r>
    </w:p>
    <w:bookmarkEnd w:id="40"/>
    <w:bookmarkStart w:id="41" w:name="X68ae7dc8fa43888c29024597b4901d8727723ca"/>
    <w:p>
      <w:pPr>
        <w:pStyle w:val="Heading3"/>
      </w:pPr>
      <w:r>
        <w:t xml:space="preserve">R1-25 (anchor:</w:t>
      </w:r>
      <w:r>
        <w:t xml:space="preserve"> </w:t>
      </w:r>
      <w:r>
        <w:t xml:space="preserve">“elderly solo household rate was robustly associated with infusion therapy utilization”</w:t>
      </w:r>
      <w:r>
        <w:t xml:space="preserve">)</w:t>
      </w:r>
    </w:p>
    <w:p>
      <w:pPr>
        <w:pStyle w:val="BlockText"/>
      </w:pPr>
      <w:r>
        <w:t xml:space="preserve">“This finding should be toned down. AC was likely available in almost all of the dwellings of these individuals… Dehydration is not uncommon in older adults who may not drink water as often as people of other ages. This should be considered and discussed in the context of existing literature.”</w:t>
      </w:r>
    </w:p>
    <w:p>
      <w:pPr>
        <w:pStyle w:val="FirstParagraph"/>
      </w:pPr>
      <w:r>
        <w:rPr>
          <w:b/>
          <w:bCs/>
        </w:rPr>
        <w:t xml:space="preserve">Response:</w:t>
      </w:r>
      <w:r>
        <w:t xml:space="preserve"> </w:t>
      </w:r>
      <w:r>
        <w:t xml:space="preserve">We agree, and this finding no longer stands as originally stated. The revised Results (p.8–9) show that the association was substantially attenuated by ageing-rate adjustment and became statistically non-robust after further adjustment. We retain a restrained discussion of physiological mechanisms (reduced thirst perception, thermoregulation) as background context (Discussion §2–3, p.11) without claiming a robust independent living-alone effect.</w:t>
      </w:r>
    </w:p>
    <w:bookmarkEnd w:id="41"/>
    <w:bookmarkStart w:id="42" w:name="r1-26-anchor-use-air-conditioning"/>
    <w:p>
      <w:pPr>
        <w:pStyle w:val="Heading3"/>
      </w:pPr>
      <w:r>
        <w:t xml:space="preserve">R1-26 (anchor:</w:t>
      </w:r>
      <w:r>
        <w:t xml:space="preserve"> </w:t>
      </w:r>
      <w:r>
        <w:t xml:space="preserve">“use air conditioning”</w:t>
      </w:r>
      <w:r>
        <w:t xml:space="preserve">)</w:t>
      </w:r>
    </w:p>
    <w:p>
      <w:pPr>
        <w:pStyle w:val="BlockText"/>
      </w:pPr>
      <w:r>
        <w:t xml:space="preserve">“So do they have AC but not turn it on?”</w:t>
      </w:r>
    </w:p>
    <w:p>
      <w:pPr>
        <w:pStyle w:val="FirstParagraph"/>
      </w:pPr>
      <w:r>
        <w:rPr>
          <w:b/>
          <w:bCs/>
        </w:rPr>
        <w:t xml:space="preserve">Response:</w:t>
      </w:r>
      <w:r>
        <w:t xml:space="preserve"> </w:t>
      </w:r>
      <w:r>
        <w:t xml:space="preserve">We cannot distinguish ownership from use with these data; this is now stated explicitly as a limitation (Limitations, final item, p.13).</w:t>
      </w:r>
    </w:p>
    <w:bookmarkEnd w:id="42"/>
    <w:bookmarkStart w:id="43" w:name="X0dbb5fc129003d525344850e62878b1212a6c30"/>
    <w:p>
      <w:pPr>
        <w:pStyle w:val="Heading3"/>
      </w:pPr>
      <w:r>
        <w:t xml:space="preserve">R1-27 (anchor:</w:t>
      </w:r>
      <w:r>
        <w:t xml:space="preserve"> </w:t>
      </w:r>
      <w:r>
        <w:t xml:space="preserve">“outreach and resource allocation”</w:t>
      </w:r>
      <w:r>
        <w:t xml:space="preserve">)</w:t>
      </w:r>
    </w:p>
    <w:p>
      <w:pPr>
        <w:pStyle w:val="BlockText"/>
      </w:pPr>
      <w:r>
        <w:t xml:space="preserve">“Is this by identifying which of the prefectures house the most number of socially isolated individuals?”</w:t>
      </w:r>
    </w:p>
    <w:p>
      <w:pPr>
        <w:pStyle w:val="FirstParagraph"/>
      </w:pPr>
      <w:r>
        <w:rPr>
          <w:b/>
          <w:bCs/>
        </w:rPr>
        <w:t xml:space="preserve">Response:</w:t>
      </w:r>
      <w:r>
        <w:t xml:space="preserve"> </w:t>
      </w:r>
      <w:r>
        <w:t xml:space="preserve">The original policy recommendation to prioritize outreach based on this indicator has been removed from the Conclusions, since the underlying association was not robust to adjustment (Conclusions, p.13).</w:t>
      </w:r>
    </w:p>
    <w:bookmarkEnd w:id="43"/>
    <w:bookmarkStart w:id="44" w:name="X00eb1672571ce08309b1b48439bf9aa79a0cfaa"/>
    <w:p>
      <w:pPr>
        <w:pStyle w:val="Heading3"/>
      </w:pPr>
      <w:r>
        <w:t xml:space="preserve">R1-28 (anchor:</w:t>
      </w:r>
      <w:r>
        <w:t xml:space="preserve"> </w:t>
      </w:r>
      <w:r>
        <w:t xml:space="preserve">“Infusion therapy is not heat-specific”</w:t>
      </w:r>
      <w:r>
        <w:t xml:space="preserve">)</w:t>
      </w:r>
    </w:p>
    <w:p>
      <w:pPr>
        <w:pStyle w:val="BlockText"/>
      </w:pPr>
      <w:r>
        <w:t xml:space="preserve">“Besides dehydration from heat exposure, what are the other reasons or medical conditions for infusion therapy? These should be discussed.”</w:t>
      </w:r>
    </w:p>
    <w:p>
      <w:pPr>
        <w:pStyle w:val="FirstParagraph"/>
      </w:pPr>
      <w:r>
        <w:rPr>
          <w:b/>
          <w:bCs/>
        </w:rPr>
        <w:t xml:space="preserve">Response:</w:t>
      </w:r>
      <w:r>
        <w:t xml:space="preserve"> </w:t>
      </w:r>
      <w:r>
        <w:t xml:space="preserve">We have expanded this point: G004 large-volume infusion is used for volume repletion across a range of clinical contexts (e.g., perioperative fluid management, gastrointestinal illness, general supportive care in hospitalized and non-hospitalized patients), not exclusively heat-related dehydration, and we no longer use a dehydration-specific outcome label (Methods §2, p.4, line 10).</w:t>
      </w:r>
    </w:p>
    <w:bookmarkEnd w:id="44"/>
    <w:bookmarkStart w:id="45" w:name="r1-29-anchor-cooling-support"/>
    <w:p>
      <w:pPr>
        <w:pStyle w:val="Heading3"/>
      </w:pPr>
      <w:r>
        <w:t xml:space="preserve">R1-29 (anchor:</w:t>
      </w:r>
      <w:r>
        <w:t xml:space="preserve"> </w:t>
      </w:r>
      <w:r>
        <w:t xml:space="preserve">“cooling support”</w:t>
      </w:r>
      <w:r>
        <w:t xml:space="preserve">)</w:t>
      </w:r>
    </w:p>
    <w:p>
      <w:pPr>
        <w:pStyle w:val="BlockText"/>
      </w:pPr>
      <w:r>
        <w:t xml:space="preserve">“Do you mean turn on AC? Can socially isolated people afford to use AC?”</w:t>
      </w:r>
    </w:p>
    <w:p>
      <w:pPr>
        <w:pStyle w:val="FirstParagraph"/>
      </w:pPr>
      <w:r>
        <w:rPr>
          <w:b/>
          <w:bCs/>
        </w:rPr>
        <w:t xml:space="preserve">Response:</w:t>
      </w:r>
      <w:r>
        <w:t xml:space="preserve"> </w:t>
      </w:r>
      <w:r>
        <w:t xml:space="preserve">We have removed the specific policy recommendation referencing</w:t>
      </w:r>
      <w:r>
        <w:t xml:space="preserve"> </w:t>
      </w:r>
      <w:r>
        <w:t xml:space="preserve">“cooling support”</w:t>
      </w:r>
      <w:r>
        <w:t xml:space="preserve"> </w:t>
      </w:r>
      <w:r>
        <w:t xml:space="preserve">as a prescribed action, given that the underlying association is no longer supported after adjustment (Conclusions, p.13).</w:t>
      </w:r>
    </w:p>
    <w:bookmarkEnd w:id="45"/>
    <w:bookmarkStart w:id="46" w:name="r1-30-anchor-causes"/>
    <w:p>
      <w:pPr>
        <w:pStyle w:val="Heading3"/>
      </w:pPr>
      <w:r>
        <w:t xml:space="preserve">R1-30 (anchor:</w:t>
      </w:r>
      <w:r>
        <w:t xml:space="preserve"> </w:t>
      </w:r>
      <w:r>
        <w:t xml:space="preserve">“causes”</w:t>
      </w:r>
      <w:r>
        <w:t xml:space="preserve">)</w:t>
      </w:r>
    </w:p>
    <w:p>
      <w:pPr>
        <w:pStyle w:val="BlockText"/>
      </w:pPr>
      <w:r>
        <w:t xml:space="preserve">“Such as, please give examples.”</w:t>
      </w:r>
    </w:p>
    <w:p>
      <w:pPr>
        <w:pStyle w:val="FirstParagraph"/>
      </w:pPr>
      <w:r>
        <w:rPr>
          <w:b/>
          <w:bCs/>
        </w:rPr>
        <w:t xml:space="preserve">Response:</w:t>
      </w:r>
      <w:r>
        <w:t xml:space="preserve"> </w:t>
      </w:r>
      <w:r>
        <w:t xml:space="preserve">Addressed via the expanded discussion of non-heat-related indications for G004 infusion therapy (see R1-28 response above).</w:t>
      </w:r>
    </w:p>
    <w:bookmarkEnd w:id="46"/>
    <w:bookmarkStart w:id="47" w:name="Xb8e1d3c0db47dc1b927840010c9c7b5da958048"/>
    <w:p>
      <w:pPr>
        <w:pStyle w:val="Heading3"/>
      </w:pPr>
      <w:r>
        <w:t xml:space="preserve">R1-31 (anchor:</w:t>
      </w:r>
      <w:r>
        <w:t xml:space="preserve"> </w:t>
      </w:r>
      <w:r>
        <w:t xml:space="preserve">“Sixth, unmeasured confounding by socioeconomic status, healthcare access, chronic disease, medication use, housing, and urban heat islands may remain.”</w:t>
      </w:r>
      <w:r>
        <w:t xml:space="preserve">)</w:t>
      </w:r>
    </w:p>
    <w:p>
      <w:pPr>
        <w:pStyle w:val="BlockText"/>
      </w:pPr>
      <w:r>
        <w:t xml:space="preserve">“Were none of these data available at prefecture level? That is a real pity as they would have enhanced the realities of the situation.”</w:t>
      </w:r>
    </w:p>
    <w:p>
      <w:pPr>
        <w:pStyle w:val="FirstParagraph"/>
      </w:pPr>
      <w:r>
        <w:rPr>
          <w:b/>
          <w:bCs/>
        </w:rPr>
        <w:t xml:space="preserve">Response:</w:t>
      </w:r>
      <w:r>
        <w:t xml:space="preserve"> </w:t>
      </w:r>
      <w:r>
        <w:t xml:space="preserve">Healthcare access is now addressed directly via the healthcare-supply adjustment (general hospital beds and clinics per 100,000; Methods §6, Results §4). Socioeconomic status, chronic disease prevalence, medication use, housing, and urban-heat-island indicators were not available at prefecture level in a form suitable for this analysis and remain listed as limitations (Limitations, p.13).</w:t>
      </w:r>
    </w:p>
    <w:bookmarkEnd w:id="47"/>
    <w:bookmarkStart w:id="48" w:name="r1-32-anchor-references"/>
    <w:p>
      <w:pPr>
        <w:pStyle w:val="Heading3"/>
      </w:pPr>
      <w:r>
        <w:t xml:space="preserve">R1-32 (anchor:</w:t>
      </w:r>
      <w:r>
        <w:t xml:space="preserve"> </w:t>
      </w:r>
      <w:r>
        <w:t xml:space="preserve">“References”</w:t>
      </w:r>
      <w:r>
        <w:t xml:space="preserve">)</w:t>
      </w:r>
    </w:p>
    <w:p>
      <w:pPr>
        <w:pStyle w:val="BlockText"/>
      </w:pPr>
      <w:r>
        <w:t xml:space="preserve">“References should be checked for correct DOIs.”</w:t>
      </w:r>
    </w:p>
    <w:p>
      <w:pPr>
        <w:pStyle w:val="FirstParagraph"/>
      </w:pPr>
      <w:r>
        <w:rPr>
          <w:b/>
          <w:bCs/>
        </w:rPr>
        <w:t xml:space="preserve">Response:</w:t>
      </w:r>
      <w:r>
        <w:t xml:space="preserve"> </w:t>
      </w:r>
      <w:r>
        <w:t xml:space="preserve">We conducted a full reference/DOI verification pass; see</w:t>
      </w:r>
      <w:r>
        <w:t xml:space="preserve"> </w:t>
      </w:r>
      <w:r>
        <w:rPr>
          <w:rStyle w:val="VerbatimChar"/>
        </w:rPr>
        <w:t xml:space="preserve">reference_audit.csv</w:t>
      </w:r>
      <w:r>
        <w:t xml:space="preserve">. The one incorrect DOI identified (Miyatake et al. 2012) has been corrected (see next item).</w:t>
      </w:r>
    </w:p>
    <w:bookmarkEnd w:id="48"/>
    <w:bookmarkStart w:id="49" w:name="r1-33-anchor-miyatake-doi"/>
    <w:p>
      <w:pPr>
        <w:pStyle w:val="Heading3"/>
      </w:pPr>
      <w:r>
        <w:t xml:space="preserve">R1-33 (anchor: Miyatake DOI)</w:t>
      </w:r>
    </w:p>
    <w:p>
      <w:pPr>
        <w:pStyle w:val="BlockText"/>
      </w:pPr>
      <w:r>
        <w:t xml:space="preserve">“Wrong DOI… doi: 10.1007/s12199-011-0221-2.”</w:t>
      </w:r>
    </w:p>
    <w:p>
      <w:pPr>
        <w:pStyle w:val="FirstParagraph"/>
      </w:pPr>
      <w:r>
        <w:rPr>
          <w:b/>
          <w:bCs/>
        </w:rPr>
        <w:t xml:space="preserve">Response:</w:t>
      </w:r>
      <w:r>
        <w:t xml:space="preserve"> </w:t>
      </w:r>
      <w:r>
        <w:t xml:space="preserve">Corrected exactly as specified; the reference list now reads doi:10.1007/s12199-011-0221-2 (References, p.16, line 12).</w:t>
      </w:r>
    </w:p>
    <w:bookmarkEnd w:id="49"/>
    <w:bookmarkStart w:id="50" w:name="r1-34-anchor-table"/>
    <w:p>
      <w:pPr>
        <w:pStyle w:val="Heading3"/>
      </w:pPr>
      <w:r>
        <w:t xml:space="preserve">R1-34 (anchor:</w:t>
      </w:r>
      <w:r>
        <w:t xml:space="preserve"> </w:t>
      </w:r>
      <w:r>
        <w:t xml:space="preserve">“Table”</w:t>
      </w:r>
      <w:r>
        <w:t xml:space="preserve">)</w:t>
      </w:r>
    </w:p>
    <w:p>
      <w:pPr>
        <w:pStyle w:val="BlockText"/>
      </w:pPr>
      <w:r>
        <w:t xml:space="preserve">“These is no need for three decimal places in this type of study.”</w:t>
      </w:r>
      <w:r>
        <w:t xml:space="preserve"> </w:t>
      </w:r>
      <w:r>
        <w:t xml:space="preserve">[sic]</w:t>
      </w:r>
    </w:p>
    <w:p>
      <w:pPr>
        <w:pStyle w:val="FirstParagraph"/>
      </w:pPr>
      <w:r>
        <w:rPr>
          <w:b/>
          <w:bCs/>
        </w:rPr>
        <w:t xml:space="preserve">Response:</w:t>
      </w:r>
      <w:r>
        <w:t xml:space="preserve"> </w:t>
      </w:r>
      <w:r>
        <w:t xml:space="preserve">We agree. Tables now use restrained decimal precision appropriate for N=47 (e.g., one decimal place for unstandardized coefficients, three for standardized coefficients and R², consistent with conventional reporting) (Table 1, p.17; Table 2, p.18).</w:t>
      </w:r>
    </w:p>
    <w:bookmarkEnd w:id="50"/>
    <w:bookmarkStart w:id="51" w:name="r1-35-anchor-figure-r²-comment"/>
    <w:p>
      <w:pPr>
        <w:pStyle w:val="Heading3"/>
      </w:pPr>
      <w:r>
        <w:t xml:space="preserve">R1-35 (anchor: figure R² comment)</w:t>
      </w:r>
    </w:p>
    <w:p>
      <w:pPr>
        <w:pStyle w:val="BlockText"/>
      </w:pPr>
      <w:r>
        <w:t xml:space="preserve">“The R-square value for both of these figures is very low, i.e., very weak regression results as indicated by little pattern shown by the dots. Not sure of the value of these relationships.”</w:t>
      </w:r>
    </w:p>
    <w:p>
      <w:pPr>
        <w:pStyle w:val="FirstParagraph"/>
      </w:pPr>
      <w:r>
        <w:rPr>
          <w:b/>
          <w:bCs/>
        </w:rPr>
        <w:t xml:space="preserve">Response:</w:t>
      </w:r>
      <w:r>
        <w:t xml:space="preserve"> </w:t>
      </w:r>
      <w:r>
        <w:t xml:space="preserve">We agree with this concern and it is central to our revised interpretation. The revised Results and Discussion explicitly report that adjusted R² for the exposure’s unique contribution (partial R²) declines to near zero after full adjustment (partial R² = 0.272, 0.056, 0.004, and &lt;0.001 for O-A through O-D; Table 2, p.18), and we no longer present the original median-split figure as a primary result.</w:t>
      </w:r>
    </w:p>
    <w:p>
      <w:r>
        <w:pict>
          <v:rect style="width:0;height:1.5pt" o:hralign="center" o:hrstd="t" o:hr="t"/>
        </w:pict>
      </w:r>
    </w:p>
    <w:p>
      <w:pPr>
        <w:pStyle w:val="FirstParagraph"/>
      </w:pPr>
      <w:r>
        <w:rPr>
          <w:i/>
          <w:iCs/>
        </w:rPr>
        <w:t xml:space="preserve">[Placeholder: exact final page numbers for a small number of items above were assigned from the closest generated Word anchor available at the time of this draft (see</w:t>
      </w:r>
      <w:r>
        <w:rPr>
          <w:i/>
          <w:iCs/>
        </w:rPr>
        <w:t xml:space="preserve"> </w:t>
      </w:r>
      <w:r>
        <w:rPr>
          <w:rStyle w:val="VerbatimChar"/>
          <w:i/>
          <w:iCs/>
        </w:rPr>
        <w:t xml:space="preserve">page_line_lookup.json</w:t>
      </w:r>
      <w:r>
        <w:rPr>
          <w:i/>
          <w:iCs/>
        </w:rPr>
        <w:t xml:space="preserve">) and will be re-verified against the final render before submission; see</w:t>
      </w:r>
      <w:r>
        <w:rPr>
          <w:i/>
          <w:iCs/>
        </w:rPr>
        <w:t xml:space="preserve"> </w:t>
      </w:r>
      <w:r>
        <w:rPr>
          <w:rStyle w:val="VerbatimChar"/>
          <w:i/>
          <w:iCs/>
        </w:rPr>
        <w:t xml:space="preserve">manuscript_number_audit.csv</w:t>
      </w:r>
      <w:r>
        <w:rPr>
          <w:i/>
          <w:iCs/>
        </w:rPr>
        <w:t xml:space="preserve"> </w:t>
      </w:r>
      <w:r>
        <w:rPr>
          <w:i/>
          <w:iCs/>
        </w:rPr>
        <w:t xml:space="preserve">for the automated cross-check.]</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2026-08-01T06:05:02Z</dcterms:created>
  <dcterms:modified xsi:type="dcterms:W3CDTF">2026-08-01T06:05:02Z</dcterms:modified>
</cp:coreProperties>
</file>

<file path=docProps/custom.xml><?xml version="1.0" encoding="utf-8"?>
<Properties xmlns="http://schemas.openxmlformats.org/officeDocument/2006/custom-properties" xmlns:vt="http://schemas.openxmlformats.org/officeDocument/2006/docPropsVTypes"/>
</file>